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6" w:rsidRDefault="002A610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8345" cy="685800"/>
            <wp:effectExtent l="0" t="0" r="1905" b="0"/>
            <wp:wrapSquare wrapText="bothSides"/>
            <wp:docPr id="8361804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61" cy="68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9145" cy="800735"/>
            <wp:effectExtent l="0" t="0" r="8255" b="0"/>
            <wp:wrapSquare wrapText="bothSides"/>
            <wp:docPr id="12528721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6106" w:rsidRDefault="002A6106"/>
    <w:p w:rsidR="002A6106" w:rsidRDefault="002A6106"/>
    <w:p w:rsidR="002A6106" w:rsidRPr="002A6106" w:rsidRDefault="002A6106">
      <w:pPr>
        <w:rPr>
          <w:rFonts w:ascii="Arial" w:hAnsi="Arial" w:cs="Arial"/>
        </w:rPr>
      </w:pPr>
    </w:p>
    <w:p w:rsidR="002A6106" w:rsidRDefault="002A6106" w:rsidP="002A610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Potravináři upozorňují na dovoz</w:t>
      </w:r>
      <w:r w:rsidR="007578A5">
        <w:rPr>
          <w:rFonts w:ascii="Arial" w:hAnsi="Arial" w:cs="Arial"/>
          <w:b/>
          <w:bCs/>
          <w:sz w:val="24"/>
          <w:szCs w:val="24"/>
        </w:rPr>
        <w:t xml:space="preserve"> pochybných</w:t>
      </w:r>
      <w:r w:rsidR="001631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potravin ze zemí mimo EU</w:t>
      </w:r>
      <w:r w:rsidR="00802CD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nemusí splňovat </w:t>
      </w:r>
      <w:r w:rsidR="002307F6">
        <w:rPr>
          <w:rFonts w:ascii="Arial" w:hAnsi="Arial" w:cs="Arial"/>
          <w:b/>
          <w:bCs/>
          <w:sz w:val="24"/>
          <w:szCs w:val="24"/>
        </w:rPr>
        <w:t>stejné standardy jako v unijních zemích</w:t>
      </w:r>
    </w:p>
    <w:p w:rsidR="002A6106" w:rsidRDefault="002A6106" w:rsidP="002A6106">
      <w:pPr>
        <w:spacing w:after="240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eastAsia="Calibri" w:hAnsi="Arial" w:cs="Arial"/>
          <w:b/>
          <w:bCs/>
        </w:rPr>
        <w:t xml:space="preserve">Tisková zpráva </w:t>
      </w:r>
      <w:r w:rsidR="00C065C9">
        <w:rPr>
          <w:rFonts w:ascii="Arial" w:eastAsia="Calibri" w:hAnsi="Arial" w:cs="Arial"/>
          <w:b/>
          <w:bCs/>
        </w:rPr>
        <w:t>1</w:t>
      </w:r>
      <w:r w:rsidR="00551093">
        <w:rPr>
          <w:rFonts w:ascii="Arial" w:eastAsia="Calibri" w:hAnsi="Arial" w:cs="Arial"/>
          <w:b/>
          <w:bCs/>
        </w:rPr>
        <w:t>8</w:t>
      </w:r>
      <w:r>
        <w:rPr>
          <w:rFonts w:ascii="Arial" w:eastAsia="Calibri" w:hAnsi="Arial" w:cs="Arial"/>
          <w:b/>
          <w:bCs/>
        </w:rPr>
        <w:t xml:space="preserve">. </w:t>
      </w:r>
      <w:r w:rsidR="00D51F17">
        <w:rPr>
          <w:rFonts w:ascii="Arial" w:eastAsia="Calibri" w:hAnsi="Arial" w:cs="Arial"/>
          <w:b/>
          <w:bCs/>
        </w:rPr>
        <w:t>2</w:t>
      </w:r>
      <w:r>
        <w:rPr>
          <w:rFonts w:ascii="Arial" w:eastAsia="Calibri" w:hAnsi="Arial" w:cs="Arial"/>
          <w:b/>
          <w:bCs/>
        </w:rPr>
        <w:t>. 2025 – Potravinářská komora ČR upozorňuje</w:t>
      </w:r>
      <w:r w:rsidR="009668EA">
        <w:rPr>
          <w:rFonts w:ascii="Arial" w:eastAsia="Calibri" w:hAnsi="Arial" w:cs="Arial"/>
          <w:b/>
          <w:bCs/>
        </w:rPr>
        <w:t xml:space="preserve"> spotřebitele</w:t>
      </w:r>
      <w:r>
        <w:rPr>
          <w:rFonts w:ascii="Arial" w:eastAsia="Calibri" w:hAnsi="Arial" w:cs="Arial"/>
          <w:b/>
          <w:bCs/>
        </w:rPr>
        <w:t xml:space="preserve"> na </w:t>
      </w:r>
      <w:r w:rsidR="002302ED">
        <w:rPr>
          <w:rFonts w:ascii="Arial" w:eastAsia="Calibri" w:hAnsi="Arial" w:cs="Arial"/>
          <w:b/>
          <w:bCs/>
        </w:rPr>
        <w:t xml:space="preserve">dovoz potravin pochybné kvality </w:t>
      </w:r>
      <w:r>
        <w:rPr>
          <w:rFonts w:ascii="Arial" w:eastAsia="Calibri" w:hAnsi="Arial" w:cs="Arial"/>
          <w:b/>
          <w:bCs/>
        </w:rPr>
        <w:t>ze zemí mimo EU. Tam</w:t>
      </w:r>
      <w:r w:rsidR="009668EA">
        <w:rPr>
          <w:rFonts w:ascii="Arial" w:eastAsia="Calibri" w:hAnsi="Arial" w:cs="Arial"/>
          <w:b/>
          <w:bCs/>
        </w:rPr>
        <w:t>ní</w:t>
      </w:r>
      <w:r>
        <w:rPr>
          <w:rFonts w:ascii="Arial" w:eastAsia="Calibri" w:hAnsi="Arial" w:cs="Arial"/>
          <w:b/>
          <w:bCs/>
        </w:rPr>
        <w:t xml:space="preserve"> producenti</w:t>
      </w:r>
      <w:r w:rsidR="009668EA">
        <w:rPr>
          <w:rFonts w:ascii="Arial" w:eastAsia="Calibri" w:hAnsi="Arial" w:cs="Arial"/>
          <w:b/>
          <w:bCs/>
        </w:rPr>
        <w:t xml:space="preserve"> totiž mnohdy</w:t>
      </w:r>
      <w:r>
        <w:rPr>
          <w:rFonts w:ascii="Arial" w:eastAsia="Calibri" w:hAnsi="Arial" w:cs="Arial"/>
          <w:b/>
          <w:bCs/>
        </w:rPr>
        <w:t xml:space="preserve"> nemusí splňovat přísn</w:t>
      </w:r>
      <w:r w:rsidR="009668EA">
        <w:rPr>
          <w:rFonts w:ascii="Arial" w:eastAsia="Calibri" w:hAnsi="Arial" w:cs="Arial"/>
          <w:b/>
          <w:bCs/>
        </w:rPr>
        <w:t>é</w:t>
      </w:r>
      <w:r>
        <w:rPr>
          <w:rFonts w:ascii="Arial" w:eastAsia="Calibri" w:hAnsi="Arial" w:cs="Arial"/>
          <w:b/>
          <w:bCs/>
        </w:rPr>
        <w:t xml:space="preserve"> environmentální a administrativní požadavky a mohou tak svou produkci </w:t>
      </w:r>
      <w:r w:rsidR="009668EA">
        <w:rPr>
          <w:rFonts w:ascii="Arial" w:eastAsia="Calibri" w:hAnsi="Arial" w:cs="Arial"/>
          <w:b/>
          <w:bCs/>
        </w:rPr>
        <w:t>vyrobit</w:t>
      </w:r>
      <w:r>
        <w:rPr>
          <w:rFonts w:ascii="Arial" w:eastAsia="Calibri" w:hAnsi="Arial" w:cs="Arial"/>
          <w:b/>
          <w:bCs/>
        </w:rPr>
        <w:t xml:space="preserve"> výrazně levněji</w:t>
      </w:r>
      <w:r w:rsidR="00031B6A">
        <w:rPr>
          <w:rFonts w:ascii="Arial" w:eastAsia="Calibri" w:hAnsi="Arial" w:cs="Arial"/>
          <w:b/>
          <w:bCs/>
        </w:rPr>
        <w:t xml:space="preserve"> i za cenu</w:t>
      </w:r>
      <w:r w:rsidR="009668EA">
        <w:rPr>
          <w:rFonts w:ascii="Arial" w:eastAsia="Calibri" w:hAnsi="Arial" w:cs="Arial"/>
          <w:b/>
          <w:bCs/>
        </w:rPr>
        <w:t xml:space="preserve"> možného</w:t>
      </w:r>
      <w:r w:rsidR="00031B6A">
        <w:rPr>
          <w:rFonts w:ascii="Arial" w:eastAsia="Calibri" w:hAnsi="Arial" w:cs="Arial"/>
          <w:b/>
          <w:bCs/>
        </w:rPr>
        <w:t xml:space="preserve"> ohrož</w:t>
      </w:r>
      <w:r w:rsidR="00C81635">
        <w:rPr>
          <w:rFonts w:ascii="Arial" w:eastAsia="Calibri" w:hAnsi="Arial" w:cs="Arial"/>
          <w:b/>
          <w:bCs/>
        </w:rPr>
        <w:t>ení</w:t>
      </w:r>
      <w:r w:rsidR="00031B6A">
        <w:rPr>
          <w:rFonts w:ascii="Arial" w:eastAsia="Calibri" w:hAnsi="Arial" w:cs="Arial"/>
          <w:b/>
          <w:bCs/>
        </w:rPr>
        <w:t xml:space="preserve"> zdraví evropských spotřebitelů.  </w:t>
      </w:r>
    </w:p>
    <w:p w:rsidR="00F96F10" w:rsidRDefault="002A6106" w:rsidP="002A6106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Česko dováží stále více potravin z třetích zemí. Z</w:t>
      </w:r>
      <w:r w:rsidR="009668EA">
        <w:rPr>
          <w:rFonts w:ascii="Arial" w:eastAsia="Calibri" w:hAnsi="Arial" w:cs="Arial"/>
        </w:rPr>
        <w:t xml:space="preserve"> dat</w:t>
      </w:r>
      <w:r>
        <w:rPr>
          <w:rFonts w:ascii="Arial" w:eastAsia="Calibri" w:hAnsi="Arial" w:cs="Arial"/>
        </w:rPr>
        <w:t xml:space="preserve"> </w:t>
      </w:r>
      <w:r w:rsidR="00324C72">
        <w:rPr>
          <w:rFonts w:ascii="Arial" w:eastAsia="Calibri" w:hAnsi="Arial" w:cs="Arial"/>
        </w:rPr>
        <w:t xml:space="preserve">Českého statistického úřadu </w:t>
      </w:r>
      <w:r>
        <w:rPr>
          <w:rFonts w:ascii="Arial" w:eastAsia="Calibri" w:hAnsi="Arial" w:cs="Arial"/>
        </w:rPr>
        <w:t>vyplývá, že zatímco v roce 20</w:t>
      </w:r>
      <w:r w:rsidR="00074F83">
        <w:rPr>
          <w:rFonts w:ascii="Arial" w:eastAsia="Calibri" w:hAnsi="Arial" w:cs="Arial"/>
        </w:rPr>
        <w:t>20</w:t>
      </w:r>
      <w:r>
        <w:rPr>
          <w:rFonts w:ascii="Arial" w:eastAsia="Calibri" w:hAnsi="Arial" w:cs="Arial"/>
        </w:rPr>
        <w:t xml:space="preserve"> se k nám </w:t>
      </w:r>
      <w:r w:rsidR="00C61FF8">
        <w:rPr>
          <w:rFonts w:ascii="Arial" w:eastAsia="Calibri" w:hAnsi="Arial" w:cs="Arial"/>
        </w:rPr>
        <w:t xml:space="preserve">například </w:t>
      </w:r>
      <w:r w:rsidR="00074F83">
        <w:rPr>
          <w:rFonts w:ascii="Arial" w:eastAsia="Calibri" w:hAnsi="Arial" w:cs="Arial"/>
        </w:rPr>
        <w:t xml:space="preserve">z Jižní Ameriky </w:t>
      </w:r>
      <w:r>
        <w:rPr>
          <w:rFonts w:ascii="Arial" w:eastAsia="Calibri" w:hAnsi="Arial" w:cs="Arial"/>
        </w:rPr>
        <w:t>dovezl</w:t>
      </w:r>
      <w:r w:rsidR="00074F83">
        <w:rPr>
          <w:rFonts w:ascii="Arial" w:eastAsia="Calibri" w:hAnsi="Arial" w:cs="Arial"/>
        </w:rPr>
        <w:t xml:space="preserve">y potraviny (včetně souvisejících služeb a prací) za 2 086 milionů korun, </w:t>
      </w:r>
      <w:r w:rsidR="00F96F10">
        <w:rPr>
          <w:rFonts w:ascii="Arial" w:eastAsia="Calibri" w:hAnsi="Arial" w:cs="Arial"/>
        </w:rPr>
        <w:t xml:space="preserve">v loňském roce </w:t>
      </w:r>
      <w:r w:rsidR="00C61FF8">
        <w:rPr>
          <w:rFonts w:ascii="Arial" w:eastAsia="Calibri" w:hAnsi="Arial" w:cs="Arial"/>
        </w:rPr>
        <w:t xml:space="preserve">se už dovoz zvýšil </w:t>
      </w:r>
      <w:r>
        <w:rPr>
          <w:rFonts w:ascii="Arial" w:eastAsia="Calibri" w:hAnsi="Arial" w:cs="Arial"/>
        </w:rPr>
        <w:t>na</w:t>
      </w:r>
      <w:r w:rsidR="00074F83">
        <w:rPr>
          <w:rFonts w:ascii="Arial" w:eastAsia="Calibri" w:hAnsi="Arial" w:cs="Arial"/>
        </w:rPr>
        <w:t xml:space="preserve"> 3</w:t>
      </w:r>
      <w:r w:rsidR="00F96F10">
        <w:rPr>
          <w:rFonts w:ascii="Arial" w:eastAsia="Calibri" w:hAnsi="Arial" w:cs="Arial"/>
        </w:rPr>
        <w:t xml:space="preserve"> 396 </w:t>
      </w:r>
      <w:r w:rsidR="00074F83">
        <w:rPr>
          <w:rFonts w:ascii="Arial" w:eastAsia="Calibri" w:hAnsi="Arial" w:cs="Arial"/>
        </w:rPr>
        <w:t xml:space="preserve">milionů korun. </w:t>
      </w:r>
      <w:r>
        <w:rPr>
          <w:rFonts w:ascii="Arial" w:eastAsia="Calibri" w:hAnsi="Arial" w:cs="Arial"/>
        </w:rPr>
        <w:t>Státní zemědělská a potravinářská inspekce přitom v roce 2023 zjistila pochybení u více než 40 %</w:t>
      </w:r>
      <w:r w:rsidR="009668EA">
        <w:rPr>
          <w:rFonts w:ascii="Arial" w:eastAsia="Calibri" w:hAnsi="Arial" w:cs="Arial"/>
        </w:rPr>
        <w:t xml:space="preserve"> kontrolovaných</w:t>
      </w:r>
      <w:r>
        <w:rPr>
          <w:rFonts w:ascii="Arial" w:eastAsia="Calibri" w:hAnsi="Arial" w:cs="Arial"/>
        </w:rPr>
        <w:t xml:space="preserve"> potravin dovezených ze zemí mimo EU. Podle </w:t>
      </w:r>
      <w:r w:rsidR="009668EA">
        <w:rPr>
          <w:rFonts w:ascii="Arial" w:eastAsia="Calibri" w:hAnsi="Arial" w:cs="Arial"/>
        </w:rPr>
        <w:t>Potravinářské komory</w:t>
      </w:r>
      <w:r>
        <w:rPr>
          <w:rFonts w:ascii="Arial" w:eastAsia="Calibri" w:hAnsi="Arial" w:cs="Arial"/>
        </w:rPr>
        <w:t xml:space="preserve"> je problém </w:t>
      </w:r>
      <w:r w:rsidR="009668EA">
        <w:rPr>
          <w:rFonts w:ascii="Arial" w:eastAsia="Calibri" w:hAnsi="Arial" w:cs="Arial"/>
        </w:rPr>
        <w:t>vedle často</w:t>
      </w:r>
      <w:r>
        <w:rPr>
          <w:rFonts w:ascii="Arial" w:eastAsia="Calibri" w:hAnsi="Arial" w:cs="Arial"/>
        </w:rPr>
        <w:t xml:space="preserve"> špatného</w:t>
      </w:r>
      <w:r w:rsidR="0048633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označování potravin </w:t>
      </w:r>
      <w:r w:rsidR="007D3108">
        <w:rPr>
          <w:rFonts w:ascii="Arial" w:eastAsia="Calibri" w:hAnsi="Arial" w:cs="Arial"/>
        </w:rPr>
        <w:t>především</w:t>
      </w:r>
      <w:r>
        <w:rPr>
          <w:rFonts w:ascii="Arial" w:eastAsia="Calibri" w:hAnsi="Arial" w:cs="Arial"/>
        </w:rPr>
        <w:t xml:space="preserve"> v tom, že v těchto zemích nemusí producenti dodržovat tak přísná pravidla ohledně používání</w:t>
      </w:r>
      <w:r w:rsidR="009668EA">
        <w:rPr>
          <w:rFonts w:ascii="Arial" w:eastAsia="Calibri" w:hAnsi="Arial" w:cs="Arial"/>
        </w:rPr>
        <w:t xml:space="preserve"> veterinárních</w:t>
      </w:r>
      <w:r>
        <w:rPr>
          <w:rFonts w:ascii="Arial" w:eastAsia="Calibri" w:hAnsi="Arial" w:cs="Arial"/>
        </w:rPr>
        <w:t xml:space="preserve"> léků, pesticidů a dalších látek. Tamní výrobci</w:t>
      </w:r>
      <w:r w:rsidR="009668EA">
        <w:rPr>
          <w:rFonts w:ascii="Arial" w:eastAsia="Calibri" w:hAnsi="Arial" w:cs="Arial"/>
        </w:rPr>
        <w:t xml:space="preserve"> se</w:t>
      </w:r>
      <w:r>
        <w:rPr>
          <w:rFonts w:ascii="Arial" w:eastAsia="Calibri" w:hAnsi="Arial" w:cs="Arial"/>
        </w:rPr>
        <w:t xml:space="preserve"> také n</w:t>
      </w:r>
      <w:r w:rsidR="009668EA">
        <w:rPr>
          <w:rFonts w:ascii="Arial" w:eastAsia="Calibri" w:hAnsi="Arial" w:cs="Arial"/>
        </w:rPr>
        <w:t>epotýkají s</w:t>
      </w:r>
      <w:r>
        <w:rPr>
          <w:rFonts w:ascii="Arial" w:eastAsia="Calibri" w:hAnsi="Arial" w:cs="Arial"/>
        </w:rPr>
        <w:t xml:space="preserve"> nadměrn</w:t>
      </w:r>
      <w:r w:rsidR="009668EA">
        <w:rPr>
          <w:rFonts w:ascii="Arial" w:eastAsia="Calibri" w:hAnsi="Arial" w:cs="Arial"/>
        </w:rPr>
        <w:t>ou</w:t>
      </w:r>
      <w:r>
        <w:rPr>
          <w:rFonts w:ascii="Arial" w:eastAsia="Calibri" w:hAnsi="Arial" w:cs="Arial"/>
        </w:rPr>
        <w:t xml:space="preserve"> unijní byrokraci</w:t>
      </w:r>
      <w:r w:rsidR="009668EA">
        <w:rPr>
          <w:rFonts w:ascii="Arial" w:eastAsia="Calibri" w:hAnsi="Arial" w:cs="Arial"/>
        </w:rPr>
        <w:t>í</w:t>
      </w:r>
      <w:r>
        <w:rPr>
          <w:rFonts w:ascii="Arial" w:eastAsia="Calibri" w:hAnsi="Arial" w:cs="Arial"/>
        </w:rPr>
        <w:t>.</w:t>
      </w:r>
      <w:r w:rsidR="002307F6">
        <w:rPr>
          <w:rFonts w:ascii="Arial" w:eastAsia="Calibri" w:hAnsi="Arial" w:cs="Arial"/>
        </w:rPr>
        <w:t xml:space="preserve">   </w:t>
      </w:r>
    </w:p>
    <w:p w:rsidR="002A6106" w:rsidRDefault="00C61FF8" w:rsidP="002A6106">
      <w:pPr>
        <w:spacing w:after="240"/>
        <w:jc w:val="both"/>
        <w:rPr>
          <w:rFonts w:ascii="Arial" w:eastAsia="Calibri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5486400" cy="3200400"/>
            <wp:effectExtent l="0" t="0" r="0" b="0"/>
            <wp:wrapSquare wrapText="bothSides"/>
            <wp:docPr id="58850491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2A6106" w:rsidRPr="00120D0A">
        <w:rPr>
          <w:rFonts w:ascii="Arial" w:eastAsia="Calibri" w:hAnsi="Arial" w:cs="Arial"/>
          <w:i/>
          <w:iCs/>
        </w:rPr>
        <w:t>Podíl nevyhovujících šarží u produkce z třetích zemí (v %):</w:t>
      </w:r>
    </w:p>
    <w:p w:rsidR="002A6106" w:rsidRDefault="002A6106" w:rsidP="002A6106">
      <w:pPr>
        <w:spacing w:after="240"/>
        <w:jc w:val="both"/>
        <w:rPr>
          <w:rFonts w:ascii="Arial" w:eastAsia="Calibri" w:hAnsi="Arial" w:cs="Arial"/>
        </w:rPr>
      </w:pPr>
      <w:r w:rsidRPr="002307F6">
        <w:rPr>
          <w:rFonts w:ascii="Arial" w:eastAsia="Calibri" w:hAnsi="Arial" w:cs="Arial"/>
          <w:i/>
          <w:iCs/>
          <w:sz w:val="18"/>
          <w:szCs w:val="18"/>
        </w:rPr>
        <w:t>Zdroj</w:t>
      </w:r>
      <w:r w:rsidR="00272D10">
        <w:rPr>
          <w:rFonts w:ascii="Arial" w:eastAsia="Calibri" w:hAnsi="Arial" w:cs="Arial"/>
          <w:i/>
          <w:iCs/>
          <w:sz w:val="18"/>
          <w:szCs w:val="18"/>
        </w:rPr>
        <w:t xml:space="preserve"> dat</w:t>
      </w:r>
      <w:r w:rsidRPr="002307F6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  <w:r w:rsidR="002307F6" w:rsidRPr="002307F6">
        <w:rPr>
          <w:rFonts w:ascii="Arial" w:eastAsia="Calibri" w:hAnsi="Arial" w:cs="Arial"/>
          <w:i/>
          <w:iCs/>
          <w:sz w:val="18"/>
          <w:szCs w:val="18"/>
        </w:rPr>
        <w:t>SZP</w:t>
      </w:r>
      <w:r w:rsidR="00F622AC">
        <w:rPr>
          <w:rFonts w:ascii="Arial" w:eastAsia="Calibri" w:hAnsi="Arial" w:cs="Arial"/>
          <w:i/>
          <w:iCs/>
          <w:sz w:val="18"/>
          <w:szCs w:val="18"/>
        </w:rPr>
        <w:t>I</w:t>
      </w:r>
    </w:p>
    <w:p w:rsidR="007778D4" w:rsidRDefault="007778D4" w:rsidP="002A6106">
      <w:pPr>
        <w:spacing w:after="240"/>
        <w:jc w:val="both"/>
        <w:rPr>
          <w:rFonts w:ascii="Arial" w:eastAsia="Calibri" w:hAnsi="Arial" w:cs="Arial"/>
          <w:i/>
          <w:iCs/>
        </w:rPr>
      </w:pPr>
    </w:p>
    <w:p w:rsidR="007778D4" w:rsidRDefault="007778D4" w:rsidP="002A6106">
      <w:pPr>
        <w:spacing w:after="240"/>
        <w:jc w:val="both"/>
        <w:rPr>
          <w:rFonts w:ascii="Arial" w:eastAsia="Calibri" w:hAnsi="Arial" w:cs="Arial"/>
          <w:i/>
          <w:iCs/>
        </w:rPr>
      </w:pPr>
    </w:p>
    <w:p w:rsidR="009D077F" w:rsidRDefault="009D077F" w:rsidP="002A6106">
      <w:pPr>
        <w:spacing w:after="240"/>
        <w:jc w:val="both"/>
        <w:rPr>
          <w:rFonts w:ascii="Arial" w:eastAsia="Calibri" w:hAnsi="Arial" w:cs="Arial"/>
          <w:i/>
          <w:iCs/>
        </w:rPr>
      </w:pPr>
    </w:p>
    <w:p w:rsidR="002A6106" w:rsidRDefault="002A6106" w:rsidP="002A6106">
      <w:pPr>
        <w:spacing w:after="240"/>
        <w:jc w:val="both"/>
        <w:rPr>
          <w:rFonts w:ascii="Arial" w:eastAsia="Calibri" w:hAnsi="Arial" w:cs="Arial"/>
        </w:rPr>
      </w:pPr>
      <w:r w:rsidRPr="00BE2745">
        <w:rPr>
          <w:rFonts w:ascii="Arial" w:eastAsia="Calibri" w:hAnsi="Arial" w:cs="Arial"/>
          <w:i/>
          <w:iCs/>
        </w:rPr>
        <w:t>„České potraviny</w:t>
      </w:r>
      <w:r w:rsidR="009668EA">
        <w:rPr>
          <w:rFonts w:ascii="Arial" w:eastAsia="Calibri" w:hAnsi="Arial" w:cs="Arial"/>
          <w:i/>
          <w:iCs/>
        </w:rPr>
        <w:t xml:space="preserve"> jednoznačně</w:t>
      </w:r>
      <w:r w:rsidRPr="00BE2745">
        <w:rPr>
          <w:rFonts w:ascii="Arial" w:eastAsia="Calibri" w:hAnsi="Arial" w:cs="Arial"/>
          <w:i/>
          <w:iCs/>
        </w:rPr>
        <w:t xml:space="preserve"> patří mezi nej</w:t>
      </w:r>
      <w:r w:rsidR="005F4FB1">
        <w:rPr>
          <w:rFonts w:ascii="Arial" w:eastAsia="Calibri" w:hAnsi="Arial" w:cs="Arial"/>
          <w:i/>
          <w:iCs/>
        </w:rPr>
        <w:t>více bezpečné</w:t>
      </w:r>
      <w:r w:rsidRPr="00BE2745">
        <w:rPr>
          <w:rFonts w:ascii="Arial" w:eastAsia="Calibri" w:hAnsi="Arial" w:cs="Arial"/>
          <w:i/>
          <w:iCs/>
        </w:rPr>
        <w:t xml:space="preserve"> na světě. Někdy jsem velmi překvapen</w:t>
      </w:r>
      <w:r w:rsidR="009668EA">
        <w:rPr>
          <w:rFonts w:ascii="Arial" w:eastAsia="Calibri" w:hAnsi="Arial" w:cs="Arial"/>
          <w:i/>
          <w:iCs/>
        </w:rPr>
        <w:t>á</w:t>
      </w:r>
      <w:r w:rsidRPr="00BE2745">
        <w:rPr>
          <w:rFonts w:ascii="Arial" w:eastAsia="Calibri" w:hAnsi="Arial" w:cs="Arial"/>
          <w:i/>
          <w:iCs/>
        </w:rPr>
        <w:t>, co všechno</w:t>
      </w:r>
      <w:r w:rsidR="000E0876">
        <w:rPr>
          <w:rFonts w:ascii="Arial" w:eastAsia="Calibri" w:hAnsi="Arial" w:cs="Arial"/>
          <w:i/>
          <w:iCs/>
        </w:rPr>
        <w:t xml:space="preserve"> čeští </w:t>
      </w:r>
      <w:r w:rsidRPr="00BE2745">
        <w:rPr>
          <w:rFonts w:ascii="Arial" w:eastAsia="Calibri" w:hAnsi="Arial" w:cs="Arial"/>
          <w:i/>
          <w:iCs/>
        </w:rPr>
        <w:t xml:space="preserve">inspektoři najdou u těch dovážených. Například u potravin z třetích zemí nacházejí stopy pesticidů, které v Evropě nepoužíváme už </w:t>
      </w:r>
      <w:r w:rsidR="009668EA">
        <w:rPr>
          <w:rFonts w:ascii="Arial" w:eastAsia="Calibri" w:hAnsi="Arial" w:cs="Arial"/>
          <w:i/>
          <w:iCs/>
        </w:rPr>
        <w:t>řadu</w:t>
      </w:r>
      <w:r w:rsidRPr="00BE2745">
        <w:rPr>
          <w:rFonts w:ascii="Arial" w:eastAsia="Calibri" w:hAnsi="Arial" w:cs="Arial"/>
          <w:i/>
          <w:iCs/>
        </w:rPr>
        <w:t xml:space="preserve"> let</w:t>
      </w:r>
      <w:r w:rsidR="00DC7622">
        <w:rPr>
          <w:rFonts w:ascii="Arial" w:eastAsia="Calibri" w:hAnsi="Arial" w:cs="Arial"/>
          <w:i/>
          <w:iCs/>
        </w:rPr>
        <w:t>.</w:t>
      </w:r>
      <w:r w:rsidR="0022367A">
        <w:rPr>
          <w:rFonts w:ascii="Arial" w:eastAsia="Calibri" w:hAnsi="Arial" w:cs="Arial"/>
          <w:i/>
          <w:iCs/>
        </w:rPr>
        <w:t xml:space="preserve"> V</w:t>
      </w:r>
      <w:r w:rsidR="00DE4BA5">
        <w:rPr>
          <w:rFonts w:ascii="Arial" w:eastAsia="Calibri" w:hAnsi="Arial" w:cs="Arial"/>
          <w:i/>
          <w:iCs/>
        </w:rPr>
        <w:t xml:space="preserve"> zemích mimo Evropu </w:t>
      </w:r>
      <w:r w:rsidR="0022367A">
        <w:rPr>
          <w:rFonts w:ascii="Arial" w:eastAsia="Calibri" w:hAnsi="Arial" w:cs="Arial"/>
          <w:i/>
          <w:iCs/>
        </w:rPr>
        <w:t xml:space="preserve">mnohdy </w:t>
      </w:r>
      <w:r w:rsidR="001C4AD4">
        <w:rPr>
          <w:rFonts w:ascii="Arial" w:eastAsia="Calibri" w:hAnsi="Arial" w:cs="Arial"/>
          <w:i/>
          <w:iCs/>
        </w:rPr>
        <w:t xml:space="preserve">také </w:t>
      </w:r>
      <w:r w:rsidR="0022367A">
        <w:rPr>
          <w:rFonts w:ascii="Arial" w:eastAsia="Calibri" w:hAnsi="Arial" w:cs="Arial"/>
          <w:i/>
          <w:iCs/>
        </w:rPr>
        <w:t xml:space="preserve">nedodržují </w:t>
      </w:r>
      <w:proofErr w:type="spellStart"/>
      <w:r w:rsidR="0022367A">
        <w:rPr>
          <w:rFonts w:ascii="Arial" w:eastAsia="Calibri" w:hAnsi="Arial" w:cs="Arial"/>
          <w:i/>
          <w:iCs/>
        </w:rPr>
        <w:t>welfare</w:t>
      </w:r>
      <w:proofErr w:type="spellEnd"/>
      <w:r w:rsidR="0022367A">
        <w:rPr>
          <w:rFonts w:ascii="Arial" w:eastAsia="Calibri" w:hAnsi="Arial" w:cs="Arial"/>
          <w:i/>
          <w:iCs/>
        </w:rPr>
        <w:t xml:space="preserve"> standardy, stavby pro zvířata </w:t>
      </w:r>
      <w:r w:rsidR="009668EA">
        <w:rPr>
          <w:rFonts w:ascii="Arial" w:eastAsia="Calibri" w:hAnsi="Arial" w:cs="Arial"/>
          <w:i/>
          <w:iCs/>
        </w:rPr>
        <w:t>například vůbec nemají potřebnou</w:t>
      </w:r>
      <w:r w:rsidR="0022367A">
        <w:rPr>
          <w:rFonts w:ascii="Arial" w:eastAsia="Calibri" w:hAnsi="Arial" w:cs="Arial"/>
          <w:i/>
          <w:iCs/>
        </w:rPr>
        <w:t xml:space="preserve"> ventilac</w:t>
      </w:r>
      <w:r w:rsidR="009668EA">
        <w:rPr>
          <w:rFonts w:ascii="Arial" w:eastAsia="Calibri" w:hAnsi="Arial" w:cs="Arial"/>
          <w:i/>
          <w:iCs/>
        </w:rPr>
        <w:t>i</w:t>
      </w:r>
      <w:r w:rsidR="0022367A">
        <w:rPr>
          <w:rFonts w:ascii="Arial" w:eastAsia="Calibri" w:hAnsi="Arial" w:cs="Arial"/>
          <w:i/>
          <w:iCs/>
        </w:rPr>
        <w:t>.</w:t>
      </w:r>
      <w:r w:rsidR="00DE4BA5">
        <w:rPr>
          <w:rFonts w:ascii="Arial" w:eastAsia="Calibri" w:hAnsi="Arial" w:cs="Arial"/>
          <w:i/>
          <w:iCs/>
        </w:rPr>
        <w:t xml:space="preserve"> </w:t>
      </w:r>
      <w:r w:rsidR="006D0B20">
        <w:rPr>
          <w:rFonts w:ascii="Arial" w:eastAsia="Calibri" w:hAnsi="Arial" w:cs="Arial"/>
          <w:i/>
          <w:iCs/>
        </w:rPr>
        <w:t xml:space="preserve">Často </w:t>
      </w:r>
      <w:r w:rsidR="00DE4BA5">
        <w:rPr>
          <w:rFonts w:ascii="Arial" w:eastAsia="Calibri" w:hAnsi="Arial" w:cs="Arial"/>
          <w:i/>
          <w:iCs/>
        </w:rPr>
        <w:t xml:space="preserve">chovatelé v krmných směsích </w:t>
      </w:r>
      <w:r w:rsidR="0092409A">
        <w:rPr>
          <w:rFonts w:ascii="Arial" w:eastAsia="Calibri" w:hAnsi="Arial" w:cs="Arial"/>
          <w:i/>
          <w:iCs/>
        </w:rPr>
        <w:t xml:space="preserve">také </w:t>
      </w:r>
      <w:r w:rsidR="00DE4BA5">
        <w:rPr>
          <w:rFonts w:ascii="Arial" w:eastAsia="Calibri" w:hAnsi="Arial" w:cs="Arial"/>
          <w:i/>
          <w:iCs/>
        </w:rPr>
        <w:t xml:space="preserve">preventivně </w:t>
      </w:r>
      <w:r w:rsidR="006D0B20">
        <w:rPr>
          <w:rFonts w:ascii="Arial" w:eastAsia="Calibri" w:hAnsi="Arial" w:cs="Arial"/>
          <w:i/>
          <w:iCs/>
        </w:rPr>
        <w:t>využívají</w:t>
      </w:r>
      <w:r w:rsidR="0092409A">
        <w:rPr>
          <w:rFonts w:ascii="Arial" w:eastAsia="Calibri" w:hAnsi="Arial" w:cs="Arial"/>
          <w:i/>
          <w:iCs/>
        </w:rPr>
        <w:t xml:space="preserve"> </w:t>
      </w:r>
      <w:r w:rsidR="00651BC1">
        <w:rPr>
          <w:rFonts w:ascii="Arial" w:eastAsia="Calibri" w:hAnsi="Arial" w:cs="Arial"/>
          <w:i/>
          <w:iCs/>
        </w:rPr>
        <w:t xml:space="preserve">zakázaná </w:t>
      </w:r>
      <w:r w:rsidR="006D0B20">
        <w:rPr>
          <w:rFonts w:ascii="Arial" w:eastAsia="Calibri" w:hAnsi="Arial" w:cs="Arial"/>
          <w:i/>
          <w:iCs/>
        </w:rPr>
        <w:t>antibiotika ke snížení úhynů</w:t>
      </w:r>
      <w:r w:rsidR="00DE4BA5">
        <w:rPr>
          <w:rFonts w:ascii="Arial" w:eastAsia="Calibri" w:hAnsi="Arial" w:cs="Arial"/>
          <w:i/>
          <w:iCs/>
        </w:rPr>
        <w:t xml:space="preserve"> </w:t>
      </w:r>
      <w:r w:rsidR="006D0B20">
        <w:rPr>
          <w:rFonts w:ascii="Arial" w:eastAsia="Calibri" w:hAnsi="Arial" w:cs="Arial"/>
          <w:i/>
          <w:iCs/>
        </w:rPr>
        <w:t>nebo růstové stimulátory</w:t>
      </w:r>
      <w:r w:rsidR="00DE4BA5">
        <w:rPr>
          <w:rFonts w:ascii="Arial" w:eastAsia="Calibri" w:hAnsi="Arial" w:cs="Arial"/>
          <w:i/>
          <w:iCs/>
        </w:rPr>
        <w:t>, díky nimž</w:t>
      </w:r>
      <w:r w:rsidR="00651BC1">
        <w:rPr>
          <w:rFonts w:ascii="Arial" w:eastAsia="Calibri" w:hAnsi="Arial" w:cs="Arial"/>
          <w:i/>
          <w:iCs/>
        </w:rPr>
        <w:t xml:space="preserve"> tamním</w:t>
      </w:r>
      <w:r w:rsidR="00DE4BA5">
        <w:rPr>
          <w:rFonts w:ascii="Arial" w:eastAsia="Calibri" w:hAnsi="Arial" w:cs="Arial"/>
          <w:i/>
          <w:iCs/>
        </w:rPr>
        <w:t xml:space="preserve"> chovatelům klesají náklady</w:t>
      </w:r>
      <w:r w:rsidR="006D0B20">
        <w:rPr>
          <w:rFonts w:ascii="Arial" w:eastAsia="Calibri" w:hAnsi="Arial" w:cs="Arial"/>
          <w:i/>
          <w:iCs/>
        </w:rPr>
        <w:t>,</w:t>
      </w:r>
      <w:r w:rsidRPr="00BE2745">
        <w:rPr>
          <w:rFonts w:ascii="Arial" w:eastAsia="Calibri" w:hAnsi="Arial" w:cs="Arial"/>
          <w:i/>
          <w:iCs/>
        </w:rPr>
        <w:t>“</w:t>
      </w:r>
      <w:r w:rsidR="00D768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řekla prezidentka Potravinářské komory Dana Večeřová. </w:t>
      </w:r>
    </w:p>
    <w:p w:rsidR="002A6106" w:rsidRPr="005431C4" w:rsidRDefault="002A6106" w:rsidP="002A6106">
      <w:pPr>
        <w:spacing w:after="240"/>
        <w:jc w:val="both"/>
        <w:rPr>
          <w:rFonts w:ascii="Arial" w:eastAsia="Calibri" w:hAnsi="Arial" w:cs="Arial"/>
          <w:b/>
          <w:bCs/>
        </w:rPr>
      </w:pPr>
      <w:r w:rsidRPr="005431C4">
        <w:rPr>
          <w:rFonts w:ascii="Arial" w:eastAsia="Calibri" w:hAnsi="Arial" w:cs="Arial"/>
          <w:b/>
          <w:bCs/>
        </w:rPr>
        <w:t>Kuřecí maso z Ukrajiny</w:t>
      </w:r>
    </w:p>
    <w:p w:rsidR="006B2559" w:rsidRDefault="002A6106" w:rsidP="002A6106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Česka se</w:t>
      </w:r>
      <w:r w:rsidR="00651BC1">
        <w:rPr>
          <w:rFonts w:ascii="Arial" w:eastAsia="Calibri" w:hAnsi="Arial" w:cs="Arial"/>
        </w:rPr>
        <w:t xml:space="preserve"> také</w:t>
      </w:r>
      <w:r>
        <w:rPr>
          <w:rFonts w:ascii="Arial" w:eastAsia="Calibri" w:hAnsi="Arial" w:cs="Arial"/>
        </w:rPr>
        <w:t xml:space="preserve"> </w:t>
      </w:r>
      <w:r w:rsidR="00651BC1">
        <w:rPr>
          <w:rFonts w:ascii="Arial" w:eastAsia="Calibri" w:hAnsi="Arial" w:cs="Arial"/>
        </w:rPr>
        <w:t>dováží</w:t>
      </w:r>
      <w:r w:rsidR="00031B6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kuřecí maso z</w:t>
      </w:r>
      <w:r w:rsidR="00031B6A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Ukrajiny</w:t>
      </w:r>
      <w:r w:rsidR="00031B6A">
        <w:rPr>
          <w:rFonts w:ascii="Arial" w:eastAsia="Calibri" w:hAnsi="Arial" w:cs="Arial"/>
        </w:rPr>
        <w:t>, které nesplňuje stejné standardy jako produkce od chovatelů v EU</w:t>
      </w:r>
      <w:r>
        <w:rPr>
          <w:rFonts w:ascii="Arial" w:eastAsia="Calibri" w:hAnsi="Arial" w:cs="Arial"/>
        </w:rPr>
        <w:t xml:space="preserve">. </w:t>
      </w:r>
      <w:r w:rsidR="00C02AAD">
        <w:rPr>
          <w:rFonts w:ascii="Arial" w:eastAsia="Calibri" w:hAnsi="Arial" w:cs="Arial"/>
        </w:rPr>
        <w:t xml:space="preserve">Loni se </w:t>
      </w:r>
      <w:r>
        <w:rPr>
          <w:rFonts w:ascii="Arial" w:eastAsia="Calibri" w:hAnsi="Arial" w:cs="Arial"/>
        </w:rPr>
        <w:t>ho</w:t>
      </w:r>
      <w:r w:rsidR="00651BC1">
        <w:rPr>
          <w:rFonts w:ascii="Arial" w:eastAsia="Calibri" w:hAnsi="Arial" w:cs="Arial"/>
        </w:rPr>
        <w:t xml:space="preserve"> k nám</w:t>
      </w:r>
      <w:r>
        <w:rPr>
          <w:rFonts w:ascii="Arial" w:eastAsia="Calibri" w:hAnsi="Arial" w:cs="Arial"/>
        </w:rPr>
        <w:t xml:space="preserve"> dovezlo </w:t>
      </w:r>
      <w:r w:rsidR="00C02AAD">
        <w:rPr>
          <w:rFonts w:ascii="Arial" w:eastAsia="Calibri" w:hAnsi="Arial" w:cs="Arial"/>
        </w:rPr>
        <w:t xml:space="preserve">přes čtyřikrát </w:t>
      </w:r>
      <w:r>
        <w:rPr>
          <w:rFonts w:ascii="Arial" w:eastAsia="Calibri" w:hAnsi="Arial" w:cs="Arial"/>
        </w:rPr>
        <w:t xml:space="preserve">více než </w:t>
      </w:r>
      <w:r w:rsidR="00C02AAD">
        <w:rPr>
          <w:rFonts w:ascii="Arial" w:eastAsia="Calibri" w:hAnsi="Arial" w:cs="Arial"/>
        </w:rPr>
        <w:t>v roce 2017</w:t>
      </w:r>
      <w:r>
        <w:rPr>
          <w:rFonts w:ascii="Arial" w:eastAsia="Calibri" w:hAnsi="Arial" w:cs="Arial"/>
        </w:rPr>
        <w:t>.</w:t>
      </w:r>
      <w:r w:rsidR="00031B6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V minulém roce státní inspektoři </w:t>
      </w:r>
      <w:r w:rsidR="00431895">
        <w:rPr>
          <w:rFonts w:ascii="Arial" w:eastAsia="Calibri" w:hAnsi="Arial" w:cs="Arial"/>
        </w:rPr>
        <w:t>opakovaně</w:t>
      </w:r>
      <w:r w:rsidR="00651BC1">
        <w:rPr>
          <w:rFonts w:ascii="Arial" w:eastAsia="Calibri" w:hAnsi="Arial" w:cs="Arial"/>
        </w:rPr>
        <w:t xml:space="preserve"> odhalili ukrajinské</w:t>
      </w:r>
      <w:r w:rsidR="0043189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prsní řízky </w:t>
      </w:r>
      <w:r w:rsidR="00651BC1">
        <w:rPr>
          <w:rFonts w:ascii="Arial" w:eastAsia="Calibri" w:hAnsi="Arial" w:cs="Arial"/>
        </w:rPr>
        <w:t>kontaminované</w:t>
      </w:r>
      <w:r>
        <w:rPr>
          <w:rFonts w:ascii="Arial" w:eastAsia="Calibri" w:hAnsi="Arial" w:cs="Arial"/>
        </w:rPr>
        <w:t xml:space="preserve"> salmonelou.</w:t>
      </w:r>
      <w:r w:rsidR="003F67B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Kuřecí maso bylo </w:t>
      </w:r>
      <w:r w:rsidR="006B2559">
        <w:rPr>
          <w:rFonts w:ascii="Arial" w:eastAsia="Calibri" w:hAnsi="Arial" w:cs="Arial"/>
        </w:rPr>
        <w:t>navíc z</w:t>
      </w:r>
      <w:r>
        <w:rPr>
          <w:rFonts w:ascii="Arial" w:eastAsia="Calibri" w:hAnsi="Arial" w:cs="Arial"/>
        </w:rPr>
        <w:t>áměrně přebalováno na Slovensku, aby</w:t>
      </w:r>
      <w:r w:rsidR="00075516">
        <w:rPr>
          <w:rFonts w:ascii="Arial" w:eastAsia="Calibri" w:hAnsi="Arial" w:cs="Arial"/>
        </w:rPr>
        <w:t xml:space="preserve"> na první pohled</w:t>
      </w:r>
      <w:r w:rsidR="00651BC1">
        <w:rPr>
          <w:rFonts w:ascii="Arial" w:eastAsia="Calibri" w:hAnsi="Arial" w:cs="Arial"/>
        </w:rPr>
        <w:t xml:space="preserve"> vyvolalo dojem</w:t>
      </w:r>
      <w:r w:rsidR="0007551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„evropsk</w:t>
      </w:r>
      <w:r w:rsidR="00651BC1">
        <w:rPr>
          <w:rFonts w:ascii="Arial" w:eastAsia="Calibri" w:hAnsi="Arial" w:cs="Arial"/>
        </w:rPr>
        <w:t>ého</w:t>
      </w:r>
      <w:r>
        <w:rPr>
          <w:rFonts w:ascii="Arial" w:eastAsia="Calibri" w:hAnsi="Arial" w:cs="Arial"/>
        </w:rPr>
        <w:t>“ půvo</w:t>
      </w:r>
      <w:r w:rsidR="00651BC1">
        <w:rPr>
          <w:rFonts w:ascii="Arial" w:eastAsia="Calibri" w:hAnsi="Arial" w:cs="Arial"/>
        </w:rPr>
        <w:t>du</w:t>
      </w:r>
      <w:r w:rsidR="006B2559">
        <w:rPr>
          <w:rFonts w:ascii="Arial" w:eastAsia="Calibri" w:hAnsi="Arial" w:cs="Arial"/>
        </w:rPr>
        <w:t>. V oválu na potravině tak byl</w:t>
      </w:r>
      <w:r w:rsidR="00651BC1">
        <w:rPr>
          <w:rFonts w:ascii="Arial" w:eastAsia="Calibri" w:hAnsi="Arial" w:cs="Arial"/>
        </w:rPr>
        <w:t>a</w:t>
      </w:r>
      <w:r w:rsidR="006B2559">
        <w:rPr>
          <w:rFonts w:ascii="Arial" w:eastAsia="Calibri" w:hAnsi="Arial" w:cs="Arial"/>
        </w:rPr>
        <w:t xml:space="preserve"> uveden</w:t>
      </w:r>
      <w:r w:rsidR="00651BC1">
        <w:rPr>
          <w:rFonts w:ascii="Arial" w:eastAsia="Calibri" w:hAnsi="Arial" w:cs="Arial"/>
        </w:rPr>
        <w:t>a písmena</w:t>
      </w:r>
      <w:r w:rsidR="006B2559">
        <w:rPr>
          <w:rFonts w:ascii="Arial" w:eastAsia="Calibri" w:hAnsi="Arial" w:cs="Arial"/>
        </w:rPr>
        <w:t xml:space="preserve"> SK, protože slovenský </w:t>
      </w:r>
      <w:r w:rsidR="00651BC1">
        <w:rPr>
          <w:rFonts w:ascii="Arial" w:eastAsia="Calibri" w:hAnsi="Arial" w:cs="Arial"/>
        </w:rPr>
        <w:t>podnik</w:t>
      </w:r>
      <w:r w:rsidR="006B2559">
        <w:rPr>
          <w:rFonts w:ascii="Arial" w:eastAsia="Calibri" w:hAnsi="Arial" w:cs="Arial"/>
        </w:rPr>
        <w:t xml:space="preserve"> byl posledním článkem</w:t>
      </w:r>
      <w:r w:rsidR="008D34D5">
        <w:rPr>
          <w:rFonts w:ascii="Arial" w:eastAsia="Calibri" w:hAnsi="Arial" w:cs="Arial"/>
        </w:rPr>
        <w:t xml:space="preserve">, kde </w:t>
      </w:r>
      <w:r w:rsidR="006B2559">
        <w:rPr>
          <w:rFonts w:ascii="Arial" w:eastAsia="Calibri" w:hAnsi="Arial" w:cs="Arial"/>
        </w:rPr>
        <w:t xml:space="preserve">došlo ke zpracování suroviny. Na </w:t>
      </w:r>
      <w:r w:rsidR="00197F30">
        <w:rPr>
          <w:rFonts w:ascii="Arial" w:eastAsia="Calibri" w:hAnsi="Arial" w:cs="Arial"/>
        </w:rPr>
        <w:t xml:space="preserve">druhou stranu </w:t>
      </w:r>
      <w:r w:rsidR="00075516">
        <w:rPr>
          <w:rFonts w:ascii="Arial" w:eastAsia="Calibri" w:hAnsi="Arial" w:cs="Arial"/>
        </w:rPr>
        <w:t>byla</w:t>
      </w:r>
      <w:r w:rsidR="00651BC1">
        <w:rPr>
          <w:rFonts w:ascii="Arial" w:eastAsia="Calibri" w:hAnsi="Arial" w:cs="Arial"/>
        </w:rPr>
        <w:t xml:space="preserve"> na obalu</w:t>
      </w:r>
      <w:r w:rsidR="00075516">
        <w:rPr>
          <w:rFonts w:ascii="Arial" w:eastAsia="Calibri" w:hAnsi="Arial" w:cs="Arial"/>
        </w:rPr>
        <w:t xml:space="preserve"> </w:t>
      </w:r>
      <w:r w:rsidR="003F67B2">
        <w:rPr>
          <w:rFonts w:ascii="Arial" w:eastAsia="Calibri" w:hAnsi="Arial" w:cs="Arial"/>
        </w:rPr>
        <w:t xml:space="preserve">malým písmem </w:t>
      </w:r>
      <w:r w:rsidR="00075516">
        <w:rPr>
          <w:rFonts w:ascii="Arial" w:eastAsia="Calibri" w:hAnsi="Arial" w:cs="Arial"/>
        </w:rPr>
        <w:t xml:space="preserve">uvedena i </w:t>
      </w:r>
      <w:r w:rsidR="003F67B2">
        <w:rPr>
          <w:rFonts w:ascii="Arial" w:eastAsia="Calibri" w:hAnsi="Arial" w:cs="Arial"/>
        </w:rPr>
        <w:t xml:space="preserve">povinná </w:t>
      </w:r>
      <w:r w:rsidR="00075516">
        <w:rPr>
          <w:rFonts w:ascii="Arial" w:eastAsia="Calibri" w:hAnsi="Arial" w:cs="Arial"/>
        </w:rPr>
        <w:t>informace o chovu</w:t>
      </w:r>
      <w:r w:rsidR="003F67B2">
        <w:rPr>
          <w:rFonts w:ascii="Arial" w:eastAsia="Calibri" w:hAnsi="Arial" w:cs="Arial"/>
        </w:rPr>
        <w:t xml:space="preserve">, v tomto případě </w:t>
      </w:r>
      <w:r w:rsidR="00075516">
        <w:rPr>
          <w:rFonts w:ascii="Arial" w:eastAsia="Calibri" w:hAnsi="Arial" w:cs="Arial"/>
        </w:rPr>
        <w:t>na Ukrajině</w:t>
      </w:r>
      <w:r w:rsidR="003F67B2">
        <w:rPr>
          <w:rFonts w:ascii="Arial" w:eastAsia="Calibri" w:hAnsi="Arial" w:cs="Arial"/>
        </w:rPr>
        <w:t>.</w:t>
      </w:r>
      <w:r w:rsidR="00075516">
        <w:rPr>
          <w:rFonts w:ascii="Arial" w:eastAsia="Calibri" w:hAnsi="Arial" w:cs="Arial"/>
        </w:rPr>
        <w:t xml:space="preserve"> </w:t>
      </w:r>
      <w:r w:rsidR="006B2559">
        <w:rPr>
          <w:rFonts w:ascii="Arial" w:eastAsia="Calibri" w:hAnsi="Arial" w:cs="Arial"/>
        </w:rPr>
        <w:t xml:space="preserve"> </w:t>
      </w:r>
    </w:p>
    <w:p w:rsidR="00691EF0" w:rsidRDefault="00691EF0" w:rsidP="002A6106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5486400" cy="3200400"/>
            <wp:effectExtent l="0" t="0" r="0" b="0"/>
            <wp:wrapSquare wrapText="bothSides"/>
            <wp:docPr id="2049796181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691EF0">
        <w:rPr>
          <w:rFonts w:ascii="Arial" w:eastAsia="Calibri" w:hAnsi="Arial" w:cs="Arial"/>
          <w:i/>
          <w:iCs/>
        </w:rPr>
        <w:t>Dovoz drůbežího masa a drobů z Ukrajiny (v tunách)</w:t>
      </w:r>
      <w:r>
        <w:rPr>
          <w:rFonts w:ascii="Arial" w:eastAsia="Calibri" w:hAnsi="Arial" w:cs="Arial"/>
          <w:i/>
          <w:iCs/>
        </w:rPr>
        <w:t>:</w:t>
      </w:r>
    </w:p>
    <w:p w:rsidR="006B2559" w:rsidRDefault="00D956C1" w:rsidP="00BD7E27">
      <w:pPr>
        <w:spacing w:after="0"/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sz w:val="6"/>
          <w:szCs w:val="6"/>
        </w:rPr>
        <w:br/>
      </w:r>
      <w:r w:rsidR="00F622AC" w:rsidRPr="00D956C1">
        <w:rPr>
          <w:rFonts w:ascii="Arial" w:eastAsia="Calibri" w:hAnsi="Arial" w:cs="Arial"/>
          <w:i/>
          <w:iCs/>
          <w:sz w:val="18"/>
          <w:szCs w:val="18"/>
        </w:rPr>
        <w:t>Zdroj</w:t>
      </w:r>
      <w:r w:rsidR="00272D10">
        <w:rPr>
          <w:rFonts w:ascii="Arial" w:eastAsia="Calibri" w:hAnsi="Arial" w:cs="Arial"/>
          <w:i/>
          <w:iCs/>
          <w:sz w:val="18"/>
          <w:szCs w:val="18"/>
        </w:rPr>
        <w:t xml:space="preserve"> dat</w:t>
      </w:r>
      <w:r w:rsidR="00F622AC" w:rsidRPr="00D956C1">
        <w:rPr>
          <w:rFonts w:ascii="Arial" w:eastAsia="Calibri" w:hAnsi="Arial" w:cs="Arial"/>
          <w:i/>
          <w:iCs/>
          <w:sz w:val="18"/>
          <w:szCs w:val="18"/>
        </w:rPr>
        <w:t>: ČSÚ</w:t>
      </w:r>
    </w:p>
    <w:p w:rsidR="00BD7E27" w:rsidRPr="00D956C1" w:rsidRDefault="00DE21DB" w:rsidP="00BD7E27">
      <w:pPr>
        <w:spacing w:after="0"/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br/>
      </w:r>
    </w:p>
    <w:p w:rsidR="002A6106" w:rsidRPr="005431C4" w:rsidRDefault="002A6106" w:rsidP="002A6106">
      <w:pPr>
        <w:spacing w:after="240"/>
        <w:jc w:val="both"/>
        <w:rPr>
          <w:rFonts w:ascii="Arial" w:eastAsia="Calibri" w:hAnsi="Arial" w:cs="Arial"/>
          <w:b/>
          <w:bCs/>
        </w:rPr>
      </w:pPr>
      <w:r w:rsidRPr="005431C4">
        <w:rPr>
          <w:rFonts w:ascii="Arial" w:eastAsia="Calibri" w:hAnsi="Arial" w:cs="Arial"/>
          <w:b/>
          <w:bCs/>
        </w:rPr>
        <w:t>Cukr, hovězí a drůbeží maso z Brazílie</w:t>
      </w:r>
    </w:p>
    <w:p w:rsidR="00DA63C5" w:rsidRDefault="002A6106" w:rsidP="002A6106">
      <w:pPr>
        <w:spacing w:after="240"/>
        <w:jc w:val="both"/>
        <w:rPr>
          <w:rFonts w:ascii="Arial" w:eastAsia="Calibri" w:hAnsi="Arial" w:cs="Arial"/>
        </w:rPr>
      </w:pPr>
      <w:r w:rsidRPr="00751C09">
        <w:rPr>
          <w:rFonts w:ascii="Arial" w:eastAsia="Calibri" w:hAnsi="Arial" w:cs="Arial"/>
        </w:rPr>
        <w:t>Tématem</w:t>
      </w:r>
      <w:r>
        <w:rPr>
          <w:rFonts w:ascii="Arial" w:eastAsia="Calibri" w:hAnsi="Arial" w:cs="Arial"/>
        </w:rPr>
        <w:t xml:space="preserve"> letošního roku na poli mezinárodního obchodu</w:t>
      </w:r>
      <w:r w:rsidR="00920614">
        <w:rPr>
          <w:rFonts w:ascii="Arial" w:eastAsia="Calibri" w:hAnsi="Arial" w:cs="Arial"/>
        </w:rPr>
        <w:t xml:space="preserve"> jistě</w:t>
      </w:r>
      <w:r>
        <w:rPr>
          <w:rFonts w:ascii="Arial" w:eastAsia="Calibri" w:hAnsi="Arial" w:cs="Arial"/>
        </w:rPr>
        <w:t xml:space="preserve"> bude</w:t>
      </w:r>
      <w:r w:rsidR="00802CD5">
        <w:rPr>
          <w:rFonts w:ascii="Arial" w:eastAsia="Calibri" w:hAnsi="Arial" w:cs="Arial"/>
        </w:rPr>
        <w:t xml:space="preserve"> nová</w:t>
      </w:r>
      <w:r>
        <w:rPr>
          <w:rFonts w:ascii="Arial" w:eastAsia="Calibri" w:hAnsi="Arial" w:cs="Arial"/>
        </w:rPr>
        <w:t xml:space="preserve"> </w:t>
      </w:r>
      <w:r w:rsidRPr="00751C09">
        <w:rPr>
          <w:rFonts w:ascii="Arial" w:eastAsia="Calibri" w:hAnsi="Arial" w:cs="Arial"/>
        </w:rPr>
        <w:t>obchodní dohod</w:t>
      </w:r>
      <w:r>
        <w:rPr>
          <w:rFonts w:ascii="Arial" w:eastAsia="Calibri" w:hAnsi="Arial" w:cs="Arial"/>
        </w:rPr>
        <w:t xml:space="preserve">a </w:t>
      </w:r>
      <w:r w:rsidRPr="00751C09">
        <w:rPr>
          <w:rFonts w:ascii="Arial" w:eastAsia="Calibri" w:hAnsi="Arial" w:cs="Arial"/>
        </w:rPr>
        <w:t>se zeměmi </w:t>
      </w:r>
      <w:proofErr w:type="spellStart"/>
      <w:r>
        <w:rPr>
          <w:rFonts w:ascii="Arial" w:eastAsia="Calibri" w:hAnsi="Arial" w:cs="Arial"/>
        </w:rPr>
        <w:t>Mercosuru</w:t>
      </w:r>
      <w:proofErr w:type="spellEnd"/>
      <w:r>
        <w:rPr>
          <w:rFonts w:ascii="Arial" w:eastAsia="Calibri" w:hAnsi="Arial" w:cs="Arial"/>
        </w:rPr>
        <w:t>.</w:t>
      </w:r>
      <w:r w:rsidR="0003588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Dohoda o volném obchodu EU s jihoamerickými státy byla podepsána loni v prosinci, během letošního roku </w:t>
      </w:r>
      <w:r w:rsidRPr="00751C09">
        <w:rPr>
          <w:rFonts w:ascii="Arial" w:eastAsia="Calibri" w:hAnsi="Arial" w:cs="Arial"/>
        </w:rPr>
        <w:t xml:space="preserve">budou </w:t>
      </w:r>
      <w:r w:rsidR="00920614">
        <w:rPr>
          <w:rFonts w:ascii="Arial" w:eastAsia="Calibri" w:hAnsi="Arial" w:cs="Arial"/>
        </w:rPr>
        <w:t>muset dohodu ještě stvrdit jednotlivé</w:t>
      </w:r>
      <w:r w:rsidRPr="00751C09">
        <w:rPr>
          <w:rFonts w:ascii="Arial" w:eastAsia="Calibri" w:hAnsi="Arial" w:cs="Arial"/>
        </w:rPr>
        <w:t xml:space="preserve"> členské státy EU. </w:t>
      </w:r>
    </w:p>
    <w:p w:rsidR="002A6106" w:rsidRDefault="002A6106" w:rsidP="002A6106">
      <w:pPr>
        <w:spacing w:after="240"/>
        <w:jc w:val="both"/>
        <w:rPr>
          <w:rFonts w:ascii="Arial" w:eastAsia="Calibri" w:hAnsi="Arial" w:cs="Arial"/>
        </w:rPr>
      </w:pPr>
      <w:r w:rsidRPr="00521F10">
        <w:rPr>
          <w:rFonts w:ascii="Arial" w:eastAsia="Calibri" w:hAnsi="Arial" w:cs="Arial"/>
        </w:rPr>
        <w:lastRenderedPageBreak/>
        <w:t>Potravinářská komora má k obchodní dohodě</w:t>
      </w:r>
      <w:r w:rsidR="00DA63C5">
        <w:rPr>
          <w:rFonts w:ascii="Arial" w:eastAsia="Calibri" w:hAnsi="Arial" w:cs="Arial"/>
        </w:rPr>
        <w:t xml:space="preserve"> </w:t>
      </w:r>
      <w:r w:rsidRPr="00521F10">
        <w:rPr>
          <w:rFonts w:ascii="Arial" w:eastAsia="Calibri" w:hAnsi="Arial" w:cs="Arial"/>
        </w:rPr>
        <w:t xml:space="preserve">neutrální postoj. </w:t>
      </w:r>
      <w:r w:rsidRPr="00802CD5">
        <w:rPr>
          <w:rFonts w:ascii="Arial" w:eastAsia="Calibri" w:hAnsi="Arial" w:cs="Arial"/>
        </w:rPr>
        <w:t>Na jedné straně</w:t>
      </w:r>
      <w:r w:rsidR="00802CD5" w:rsidRPr="00802CD5">
        <w:rPr>
          <w:rFonts w:ascii="Arial" w:eastAsia="Calibri" w:hAnsi="Arial" w:cs="Arial"/>
        </w:rPr>
        <w:t xml:space="preserve"> komora</w:t>
      </w:r>
      <w:r w:rsidRPr="00802CD5">
        <w:rPr>
          <w:rFonts w:ascii="Arial" w:eastAsia="Calibri" w:hAnsi="Arial" w:cs="Arial"/>
        </w:rPr>
        <w:t xml:space="preserve"> podporuje</w:t>
      </w:r>
      <w:r w:rsidR="00DA63C5" w:rsidRPr="00802CD5">
        <w:rPr>
          <w:rFonts w:ascii="Arial" w:eastAsia="Calibri" w:hAnsi="Arial" w:cs="Arial"/>
        </w:rPr>
        <w:t xml:space="preserve"> </w:t>
      </w:r>
      <w:r w:rsidRPr="00802CD5">
        <w:rPr>
          <w:rFonts w:ascii="Arial" w:eastAsia="Calibri" w:hAnsi="Arial" w:cs="Arial"/>
        </w:rPr>
        <w:t>mezinárodní obchod, zároveň ale prosazuje, aby se na dovozové výrobky vztahovaly stejné požadavky jako na unijní produkci</w:t>
      </w:r>
      <w:r w:rsidR="00802CD5">
        <w:rPr>
          <w:rFonts w:ascii="Arial" w:eastAsia="Calibri" w:hAnsi="Arial" w:cs="Arial"/>
        </w:rPr>
        <w:t>, což však dohoda neřeší.</w:t>
      </w:r>
      <w:r w:rsidR="00DA63C5">
        <w:rPr>
          <w:rFonts w:ascii="Arial" w:eastAsia="Calibri" w:hAnsi="Arial" w:cs="Arial"/>
        </w:rPr>
        <w:t xml:space="preserve"> </w:t>
      </w:r>
      <w:r w:rsidRPr="00521F10">
        <w:rPr>
          <w:rFonts w:ascii="Arial" w:eastAsia="Calibri" w:hAnsi="Arial" w:cs="Arial"/>
        </w:rPr>
        <w:t>V této souvislosti je</w:t>
      </w:r>
      <w:r w:rsidR="00802CD5">
        <w:rPr>
          <w:rFonts w:ascii="Arial" w:eastAsia="Calibri" w:hAnsi="Arial" w:cs="Arial"/>
        </w:rPr>
        <w:t xml:space="preserve"> také</w:t>
      </w:r>
      <w:r w:rsidRPr="00521F10">
        <w:rPr>
          <w:rFonts w:ascii="Arial" w:eastAsia="Calibri" w:hAnsi="Arial" w:cs="Arial"/>
        </w:rPr>
        <w:t xml:space="preserve"> nutné </w:t>
      </w:r>
      <w:r w:rsidR="00993BC7">
        <w:rPr>
          <w:rFonts w:ascii="Arial" w:eastAsia="Calibri" w:hAnsi="Arial" w:cs="Arial"/>
        </w:rPr>
        <w:t xml:space="preserve">zmínit </w:t>
      </w:r>
      <w:r w:rsidRPr="00521F10">
        <w:rPr>
          <w:rFonts w:ascii="Arial" w:eastAsia="Calibri" w:hAnsi="Arial" w:cs="Arial"/>
        </w:rPr>
        <w:t>možné</w:t>
      </w:r>
      <w:r w:rsidR="00802CD5">
        <w:rPr>
          <w:rFonts w:ascii="Arial" w:eastAsia="Calibri" w:hAnsi="Arial" w:cs="Arial"/>
        </w:rPr>
        <w:t xml:space="preserve"> negativní</w:t>
      </w:r>
      <w:r w:rsidRPr="00521F10">
        <w:rPr>
          <w:rFonts w:ascii="Arial" w:eastAsia="Calibri" w:hAnsi="Arial" w:cs="Arial"/>
        </w:rPr>
        <w:t xml:space="preserve"> dopady dohody na životní prostředí, zejména na riziko odlesňování v Brazílii, což je jednoznačně v rozporu s cíli Evropské unie. Problémem jsou také takzvaná "plovoucí jatka", kdy se zvířata porážejí na zaoceánských lodích. To je naprosto v rozporu s evropskými představami o životní pohodě zvířat.</w:t>
      </w:r>
    </w:p>
    <w:p w:rsidR="008D1F8B" w:rsidRDefault="00D53DD0" w:rsidP="00D53DD0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 souvislosti s</w:t>
      </w:r>
      <w:r w:rsidR="00197F30">
        <w:rPr>
          <w:rFonts w:ascii="Arial" w:eastAsia="Calibri" w:hAnsi="Arial" w:cs="Arial"/>
        </w:rPr>
        <w:t xml:space="preserve"> brazilským </w:t>
      </w:r>
      <w:r>
        <w:rPr>
          <w:rFonts w:ascii="Arial" w:eastAsia="Calibri" w:hAnsi="Arial" w:cs="Arial"/>
        </w:rPr>
        <w:t xml:space="preserve">hovězím masem Komora upozorňuje na audit Evropské komise, který </w:t>
      </w:r>
      <w:r w:rsidR="00802CD5">
        <w:rPr>
          <w:rFonts w:ascii="Arial" w:eastAsia="Calibri" w:hAnsi="Arial" w:cs="Arial"/>
        </w:rPr>
        <w:t>se uskutečnil</w:t>
      </w:r>
      <w:r>
        <w:rPr>
          <w:rFonts w:ascii="Arial" w:eastAsia="Calibri" w:hAnsi="Arial" w:cs="Arial"/>
        </w:rPr>
        <w:t xml:space="preserve"> v loňském roce. Na</w:t>
      </w:r>
      <w:r w:rsidR="00920614">
        <w:rPr>
          <w:rFonts w:ascii="Arial" w:eastAsia="Calibri" w:hAnsi="Arial" w:cs="Arial"/>
        </w:rPr>
        <w:t xml:space="preserve"> jeho</w:t>
      </w:r>
      <w:r>
        <w:rPr>
          <w:rFonts w:ascii="Arial" w:eastAsia="Calibri" w:hAnsi="Arial" w:cs="Arial"/>
        </w:rPr>
        <w:t xml:space="preserve"> základě Brazílie musela od poloviny října zastavit vývoz hovězí</w:t>
      </w:r>
      <w:r w:rsidR="00920614">
        <w:rPr>
          <w:rFonts w:ascii="Arial" w:eastAsia="Calibri" w:hAnsi="Arial" w:cs="Arial"/>
        </w:rPr>
        <w:t>ho</w:t>
      </w:r>
      <w:r>
        <w:rPr>
          <w:rFonts w:ascii="Arial" w:eastAsia="Calibri" w:hAnsi="Arial" w:cs="Arial"/>
        </w:rPr>
        <w:t xml:space="preserve"> masa z</w:t>
      </w:r>
      <w:r w:rsidR="007D3108">
        <w:rPr>
          <w:rFonts w:ascii="Arial" w:eastAsia="Calibri" w:hAnsi="Arial" w:cs="Arial"/>
        </w:rPr>
        <w:t>e samic</w:t>
      </w:r>
      <w:r>
        <w:rPr>
          <w:rFonts w:ascii="Arial" w:eastAsia="Calibri" w:hAnsi="Arial" w:cs="Arial"/>
        </w:rPr>
        <w:t xml:space="preserve"> do EU</w:t>
      </w:r>
      <w:r w:rsidR="00966FA8">
        <w:rPr>
          <w:rFonts w:ascii="Arial" w:eastAsia="Calibri" w:hAnsi="Arial" w:cs="Arial"/>
        </w:rPr>
        <w:t>, protože nebylo možné zaručit, že maso nebylo ošetřeno růstovým hormonem (</w:t>
      </w:r>
      <w:r w:rsidR="00966FA8" w:rsidRPr="00D53DD0">
        <w:rPr>
          <w:rFonts w:ascii="Arial" w:eastAsia="Calibri" w:hAnsi="Arial" w:cs="Arial"/>
        </w:rPr>
        <w:t>estradiolem 17β</w:t>
      </w:r>
      <w:r w:rsidR="00966FA8">
        <w:rPr>
          <w:rFonts w:ascii="Arial" w:eastAsia="Calibri" w:hAnsi="Arial" w:cs="Arial"/>
        </w:rPr>
        <w:t>)</w:t>
      </w:r>
      <w:r w:rsidR="00966FA8" w:rsidRPr="00D53DD0">
        <w:rPr>
          <w:rFonts w:ascii="Arial" w:eastAsia="Calibri" w:hAnsi="Arial" w:cs="Arial"/>
        </w:rPr>
        <w:t>, který je v</w:t>
      </w:r>
      <w:r w:rsidR="00966FA8">
        <w:rPr>
          <w:rFonts w:ascii="Arial" w:eastAsia="Calibri" w:hAnsi="Arial" w:cs="Arial"/>
        </w:rPr>
        <w:t xml:space="preserve"> Unii </w:t>
      </w:r>
      <w:r w:rsidR="00966FA8" w:rsidRPr="00D53DD0">
        <w:rPr>
          <w:rFonts w:ascii="Arial" w:eastAsia="Calibri" w:hAnsi="Arial" w:cs="Arial"/>
        </w:rPr>
        <w:t xml:space="preserve">považován za </w:t>
      </w:r>
      <w:r w:rsidR="007D3108">
        <w:rPr>
          <w:rFonts w:ascii="Arial" w:eastAsia="Calibri" w:hAnsi="Arial" w:cs="Arial"/>
        </w:rPr>
        <w:t>j</w:t>
      </w:r>
      <w:r w:rsidR="005F4FB1">
        <w:rPr>
          <w:rFonts w:ascii="Arial" w:eastAsia="Calibri" w:hAnsi="Arial" w:cs="Arial"/>
        </w:rPr>
        <w:t>ednoznačný</w:t>
      </w:r>
      <w:r w:rsidR="00966FA8" w:rsidRPr="00D53DD0">
        <w:rPr>
          <w:rFonts w:ascii="Arial" w:eastAsia="Calibri" w:hAnsi="Arial" w:cs="Arial"/>
        </w:rPr>
        <w:t xml:space="preserve"> karcinogen.</w:t>
      </w:r>
      <w:r w:rsidR="00BD2D5E">
        <w:rPr>
          <w:rFonts w:ascii="Arial" w:eastAsia="Calibri" w:hAnsi="Arial" w:cs="Arial"/>
        </w:rPr>
        <w:t xml:space="preserve"> </w:t>
      </w:r>
      <w:r w:rsidR="00BD2D5E" w:rsidRPr="00D53DD0">
        <w:rPr>
          <w:rFonts w:ascii="Arial" w:eastAsia="Calibri" w:hAnsi="Arial" w:cs="Arial"/>
        </w:rPr>
        <w:t>V Brazílii se</w:t>
      </w:r>
      <w:r w:rsidR="007D3108">
        <w:rPr>
          <w:rFonts w:ascii="Arial" w:eastAsia="Calibri" w:hAnsi="Arial" w:cs="Arial"/>
        </w:rPr>
        <w:t xml:space="preserve"> ovšem</w:t>
      </w:r>
      <w:r w:rsidR="00BD2D5E" w:rsidRPr="00D53DD0">
        <w:rPr>
          <w:rFonts w:ascii="Arial" w:eastAsia="Calibri" w:hAnsi="Arial" w:cs="Arial"/>
        </w:rPr>
        <w:t xml:space="preserve"> látka používá často, a to k řízení chovných cyklů, zemědělcům pomáhá i při plánování umělých oplodnění. V</w:t>
      </w:r>
      <w:r w:rsidR="00BD2D5E">
        <w:rPr>
          <w:rFonts w:ascii="Arial" w:eastAsia="Calibri" w:hAnsi="Arial" w:cs="Arial"/>
        </w:rPr>
        <w:t> </w:t>
      </w:r>
      <w:r w:rsidR="00BD2D5E" w:rsidRPr="00D53DD0">
        <w:rPr>
          <w:rFonts w:ascii="Arial" w:eastAsia="Calibri" w:hAnsi="Arial" w:cs="Arial"/>
        </w:rPr>
        <w:t>E</w:t>
      </w:r>
      <w:r w:rsidR="00BD2D5E">
        <w:rPr>
          <w:rFonts w:ascii="Arial" w:eastAsia="Calibri" w:hAnsi="Arial" w:cs="Arial"/>
        </w:rPr>
        <w:t xml:space="preserve">U </w:t>
      </w:r>
      <w:r w:rsidR="00BD2D5E" w:rsidRPr="00D53DD0">
        <w:rPr>
          <w:rFonts w:ascii="Arial" w:eastAsia="Calibri" w:hAnsi="Arial" w:cs="Arial"/>
        </w:rPr>
        <w:t>je používání hormonů zakázáno od roku 1981</w:t>
      </w:r>
      <w:r w:rsidR="008D1F8B">
        <w:rPr>
          <w:rFonts w:ascii="Arial" w:eastAsia="Calibri" w:hAnsi="Arial" w:cs="Arial"/>
        </w:rPr>
        <w:t xml:space="preserve">. </w:t>
      </w:r>
      <w:r w:rsidRPr="00D53DD0">
        <w:rPr>
          <w:rFonts w:ascii="Arial" w:eastAsia="Calibri" w:hAnsi="Arial" w:cs="Arial"/>
        </w:rPr>
        <w:t xml:space="preserve">Brazilské farmy </w:t>
      </w:r>
      <w:r w:rsidR="00C64534">
        <w:rPr>
          <w:rFonts w:ascii="Arial" w:eastAsia="Calibri" w:hAnsi="Arial" w:cs="Arial"/>
        </w:rPr>
        <w:t xml:space="preserve">přitom ani nemusí </w:t>
      </w:r>
      <w:r w:rsidRPr="00D53DD0">
        <w:rPr>
          <w:rFonts w:ascii="Arial" w:eastAsia="Calibri" w:hAnsi="Arial" w:cs="Arial"/>
        </w:rPr>
        <w:t xml:space="preserve">vést záznamy o léčbě a ani se nekontroluje používání veterinárních léčiv. </w:t>
      </w:r>
    </w:p>
    <w:p w:rsidR="00DC7622" w:rsidRDefault="00E519F2" w:rsidP="00D53DD0">
      <w:pPr>
        <w:spacing w:after="240"/>
        <w:jc w:val="both"/>
        <w:rPr>
          <w:rFonts w:ascii="Arial" w:eastAsia="Calibri" w:hAnsi="Arial" w:cs="Arial"/>
        </w:rPr>
      </w:pPr>
      <w:r w:rsidRPr="00A77A1C">
        <w:rPr>
          <w:rFonts w:ascii="Arial" w:eastAsia="Calibri" w:hAnsi="Arial" w:cs="Arial"/>
          <w:i/>
          <w:iCs/>
        </w:rPr>
        <w:t>„</w:t>
      </w:r>
      <w:r w:rsidR="00DC7622">
        <w:rPr>
          <w:rFonts w:ascii="Arial" w:eastAsia="Calibri" w:hAnsi="Arial" w:cs="Arial"/>
          <w:i/>
          <w:iCs/>
        </w:rPr>
        <w:t xml:space="preserve">Až na skopové a jehněčí maso je Evropská unie soběstačná ve všech komoditách. Dokonce produkujeme více potravin, než sami spotřebujeme. </w:t>
      </w:r>
      <w:proofErr w:type="gramStart"/>
      <w:r w:rsidR="008D6F9C">
        <w:rPr>
          <w:rFonts w:ascii="Arial" w:eastAsia="Calibri" w:hAnsi="Arial" w:cs="Arial"/>
          <w:i/>
          <w:iCs/>
        </w:rPr>
        <w:t>Přestože</w:t>
      </w:r>
      <w:proofErr w:type="gramEnd"/>
      <w:r w:rsidR="008D6F9C">
        <w:rPr>
          <w:rFonts w:ascii="Arial" w:eastAsia="Calibri" w:hAnsi="Arial" w:cs="Arial"/>
          <w:i/>
          <w:iCs/>
        </w:rPr>
        <w:t xml:space="preserve"> si č</w:t>
      </w:r>
      <w:r w:rsidR="00DC7622">
        <w:rPr>
          <w:rFonts w:ascii="Arial" w:eastAsia="Calibri" w:hAnsi="Arial" w:cs="Arial"/>
          <w:i/>
          <w:iCs/>
        </w:rPr>
        <w:t>eská vláda</w:t>
      </w:r>
      <w:r w:rsidR="008D6F9C">
        <w:rPr>
          <w:rFonts w:ascii="Arial" w:eastAsia="Calibri" w:hAnsi="Arial" w:cs="Arial"/>
          <w:i/>
          <w:iCs/>
        </w:rPr>
        <w:t xml:space="preserve"> </w:t>
      </w:r>
      <w:r w:rsidR="00DC7622">
        <w:rPr>
          <w:rFonts w:ascii="Arial" w:eastAsia="Calibri" w:hAnsi="Arial" w:cs="Arial"/>
          <w:i/>
          <w:iCs/>
        </w:rPr>
        <w:t xml:space="preserve">do programového prohlášení dala </w:t>
      </w:r>
      <w:r w:rsidR="008D6F9C">
        <w:rPr>
          <w:rFonts w:ascii="Arial" w:eastAsia="Calibri" w:hAnsi="Arial" w:cs="Arial"/>
          <w:i/>
          <w:iCs/>
        </w:rPr>
        <w:t xml:space="preserve">za </w:t>
      </w:r>
      <w:r w:rsidR="00DC7622">
        <w:rPr>
          <w:rFonts w:ascii="Arial" w:eastAsia="Calibri" w:hAnsi="Arial" w:cs="Arial"/>
          <w:i/>
          <w:iCs/>
        </w:rPr>
        <w:t>cíl bojovat proti dovoz</w:t>
      </w:r>
      <w:r w:rsidR="008D6F9C">
        <w:rPr>
          <w:rFonts w:ascii="Arial" w:eastAsia="Calibri" w:hAnsi="Arial" w:cs="Arial"/>
          <w:i/>
          <w:iCs/>
        </w:rPr>
        <w:t xml:space="preserve">ům </w:t>
      </w:r>
      <w:r w:rsidR="00DC7622">
        <w:rPr>
          <w:rFonts w:ascii="Arial" w:eastAsia="Calibri" w:hAnsi="Arial" w:cs="Arial"/>
          <w:i/>
          <w:iCs/>
        </w:rPr>
        <w:t>potravin ze třetích zemí</w:t>
      </w:r>
      <w:r w:rsidR="008D6F9C">
        <w:rPr>
          <w:rFonts w:ascii="Arial" w:eastAsia="Calibri" w:hAnsi="Arial" w:cs="Arial"/>
          <w:i/>
          <w:iCs/>
        </w:rPr>
        <w:t xml:space="preserve">, </w:t>
      </w:r>
      <w:proofErr w:type="gramStart"/>
      <w:r w:rsidR="00DC7622">
        <w:rPr>
          <w:rFonts w:ascii="Arial" w:eastAsia="Calibri" w:hAnsi="Arial" w:cs="Arial"/>
          <w:i/>
          <w:iCs/>
        </w:rPr>
        <w:t>které</w:t>
      </w:r>
      <w:proofErr w:type="gramEnd"/>
      <w:r w:rsidR="00DC7622">
        <w:rPr>
          <w:rFonts w:ascii="Arial" w:eastAsia="Calibri" w:hAnsi="Arial" w:cs="Arial"/>
          <w:i/>
          <w:iCs/>
        </w:rPr>
        <w:t xml:space="preserve"> nesplňují naše přísné standardy</w:t>
      </w:r>
      <w:r w:rsidR="008D6F9C">
        <w:rPr>
          <w:rFonts w:ascii="Arial" w:eastAsia="Calibri" w:hAnsi="Arial" w:cs="Arial"/>
          <w:i/>
          <w:iCs/>
        </w:rPr>
        <w:t>, nestalo se</w:t>
      </w:r>
      <w:r w:rsidR="002F5770">
        <w:rPr>
          <w:rFonts w:ascii="Arial" w:eastAsia="Calibri" w:hAnsi="Arial" w:cs="Arial"/>
          <w:i/>
          <w:iCs/>
        </w:rPr>
        <w:t xml:space="preserve"> v této oblasti</w:t>
      </w:r>
      <w:r w:rsidR="008D6F9C">
        <w:rPr>
          <w:rFonts w:ascii="Arial" w:eastAsia="Calibri" w:hAnsi="Arial" w:cs="Arial"/>
          <w:i/>
          <w:iCs/>
        </w:rPr>
        <w:t xml:space="preserve"> vůbec nic</w:t>
      </w:r>
      <w:r w:rsidR="00DC7622">
        <w:rPr>
          <w:rFonts w:ascii="Arial" w:eastAsia="Calibri" w:hAnsi="Arial" w:cs="Arial"/>
          <w:i/>
          <w:iCs/>
        </w:rPr>
        <w:t xml:space="preserve">. </w:t>
      </w:r>
      <w:r w:rsidR="002F5770">
        <w:rPr>
          <w:rFonts w:ascii="Arial" w:eastAsia="Calibri" w:hAnsi="Arial" w:cs="Arial"/>
          <w:i/>
          <w:iCs/>
        </w:rPr>
        <w:t>V</w:t>
      </w:r>
      <w:r w:rsidR="00DC7622">
        <w:rPr>
          <w:rFonts w:ascii="Arial" w:eastAsia="Calibri" w:hAnsi="Arial" w:cs="Arial"/>
          <w:i/>
          <w:iCs/>
        </w:rPr>
        <w:t>ypadá</w:t>
      </w:r>
      <w:r w:rsidR="002F5770">
        <w:rPr>
          <w:rFonts w:ascii="Arial" w:eastAsia="Calibri" w:hAnsi="Arial" w:cs="Arial"/>
          <w:i/>
          <w:iCs/>
        </w:rPr>
        <w:t xml:space="preserve"> to</w:t>
      </w:r>
      <w:r w:rsidR="00DC7622">
        <w:rPr>
          <w:rFonts w:ascii="Arial" w:eastAsia="Calibri" w:hAnsi="Arial" w:cs="Arial"/>
          <w:i/>
          <w:iCs/>
        </w:rPr>
        <w:t>,</w:t>
      </w:r>
      <w:r w:rsidR="002F5770">
        <w:rPr>
          <w:rFonts w:ascii="Arial" w:eastAsia="Calibri" w:hAnsi="Arial" w:cs="Arial"/>
          <w:i/>
          <w:iCs/>
        </w:rPr>
        <w:t xml:space="preserve"> že</w:t>
      </w:r>
      <w:r w:rsidR="00DC7622">
        <w:rPr>
          <w:rFonts w:ascii="Arial" w:eastAsia="Calibri" w:hAnsi="Arial" w:cs="Arial"/>
          <w:i/>
          <w:iCs/>
        </w:rPr>
        <w:t xml:space="preserve"> papír snese všechno,“ </w:t>
      </w:r>
      <w:r w:rsidR="00DC7622">
        <w:rPr>
          <w:rFonts w:ascii="Arial" w:eastAsia="Calibri" w:hAnsi="Arial" w:cs="Arial"/>
        </w:rPr>
        <w:t xml:space="preserve">dodala prezidentka Večeřová. </w:t>
      </w:r>
    </w:p>
    <w:p w:rsidR="00BD04FC" w:rsidRDefault="002F5770" w:rsidP="00E519F2">
      <w:pPr>
        <w:spacing w:after="240"/>
        <w:jc w:val="both"/>
        <w:rPr>
          <w:rFonts w:ascii="Arial" w:eastAsia="Calibri" w:hAnsi="Arial" w:cs="Arial"/>
        </w:rPr>
      </w:pPr>
      <w:r w:rsidRPr="004F0148">
        <w:rPr>
          <w:rFonts w:ascii="Arial" w:eastAsia="Calibri" w:hAnsi="Arial" w:cs="Arial"/>
          <w:b/>
          <w:bCs/>
        </w:rPr>
        <w:t>Potravinářská komora</w:t>
      </w:r>
      <w:r w:rsidR="001F6405" w:rsidRPr="004F0148">
        <w:rPr>
          <w:rFonts w:ascii="Arial" w:eastAsia="Calibri" w:hAnsi="Arial" w:cs="Arial"/>
          <w:b/>
          <w:bCs/>
        </w:rPr>
        <w:t xml:space="preserve"> </w:t>
      </w:r>
      <w:r w:rsidR="005F4FB1">
        <w:rPr>
          <w:rFonts w:ascii="Arial" w:eastAsia="Calibri" w:hAnsi="Arial" w:cs="Arial"/>
          <w:b/>
          <w:bCs/>
        </w:rPr>
        <w:t>zdůrazňuje</w:t>
      </w:r>
      <w:r w:rsidR="001F6405" w:rsidRPr="004F0148">
        <w:rPr>
          <w:rFonts w:ascii="Arial" w:eastAsia="Calibri" w:hAnsi="Arial" w:cs="Arial"/>
          <w:b/>
          <w:bCs/>
        </w:rPr>
        <w:t>, že v žádném případě není</w:t>
      </w:r>
      <w:r w:rsidR="002F6EED" w:rsidRPr="004F0148">
        <w:rPr>
          <w:rFonts w:ascii="Arial" w:eastAsia="Calibri" w:hAnsi="Arial" w:cs="Arial"/>
          <w:b/>
          <w:bCs/>
        </w:rPr>
        <w:t xml:space="preserve"> </w:t>
      </w:r>
      <w:r w:rsidR="001F6405" w:rsidRPr="004F0148">
        <w:rPr>
          <w:rFonts w:ascii="Arial" w:eastAsia="Calibri" w:hAnsi="Arial" w:cs="Arial"/>
          <w:b/>
          <w:bCs/>
        </w:rPr>
        <w:t>proti dovozům ze zahraničí</w:t>
      </w:r>
      <w:r w:rsidR="00803E01" w:rsidRPr="004F0148">
        <w:rPr>
          <w:rFonts w:ascii="Arial" w:eastAsia="Calibri" w:hAnsi="Arial" w:cs="Arial"/>
          <w:b/>
          <w:bCs/>
        </w:rPr>
        <w:t>.</w:t>
      </w:r>
      <w:r w:rsidR="002F6EED">
        <w:rPr>
          <w:rFonts w:ascii="Arial" w:eastAsia="Calibri" w:hAnsi="Arial" w:cs="Arial"/>
        </w:rPr>
        <w:t xml:space="preserve"> </w:t>
      </w:r>
      <w:r w:rsidRPr="004F0148">
        <w:rPr>
          <w:rFonts w:ascii="Arial" w:eastAsia="Calibri" w:hAnsi="Arial" w:cs="Arial"/>
          <w:b/>
          <w:bCs/>
        </w:rPr>
        <w:t>Komora jen</w:t>
      </w:r>
      <w:r w:rsidR="00285AEF" w:rsidRPr="004F0148">
        <w:rPr>
          <w:rFonts w:ascii="Arial" w:eastAsia="Calibri" w:hAnsi="Arial" w:cs="Arial"/>
          <w:b/>
          <w:bCs/>
        </w:rPr>
        <w:t xml:space="preserve"> poukazuje na</w:t>
      </w:r>
      <w:r w:rsidRPr="004F0148">
        <w:rPr>
          <w:rFonts w:ascii="Arial" w:eastAsia="Calibri" w:hAnsi="Arial" w:cs="Arial"/>
          <w:b/>
          <w:bCs/>
        </w:rPr>
        <w:t xml:space="preserve"> nerovné a</w:t>
      </w:r>
      <w:r w:rsidR="007D3108" w:rsidRPr="004F0148">
        <w:rPr>
          <w:rFonts w:ascii="Arial" w:eastAsia="Calibri" w:hAnsi="Arial" w:cs="Arial"/>
          <w:b/>
          <w:bCs/>
        </w:rPr>
        <w:t xml:space="preserve"> často</w:t>
      </w:r>
      <w:r w:rsidRPr="004F0148">
        <w:rPr>
          <w:rFonts w:ascii="Arial" w:eastAsia="Calibri" w:hAnsi="Arial" w:cs="Arial"/>
          <w:b/>
          <w:bCs/>
        </w:rPr>
        <w:t xml:space="preserve"> ledabylé</w:t>
      </w:r>
      <w:r w:rsidR="00285AEF" w:rsidRPr="004F0148">
        <w:rPr>
          <w:rFonts w:ascii="Arial" w:eastAsia="Calibri" w:hAnsi="Arial" w:cs="Arial"/>
          <w:b/>
          <w:bCs/>
        </w:rPr>
        <w:t xml:space="preserve"> </w:t>
      </w:r>
      <w:r w:rsidR="001544B6" w:rsidRPr="004F0148">
        <w:rPr>
          <w:rFonts w:ascii="Arial" w:eastAsia="Calibri" w:hAnsi="Arial" w:cs="Arial"/>
          <w:b/>
          <w:bCs/>
        </w:rPr>
        <w:t>podmínky</w:t>
      </w:r>
      <w:r w:rsidR="007C2721" w:rsidRPr="004F0148">
        <w:rPr>
          <w:rFonts w:ascii="Arial" w:eastAsia="Calibri" w:hAnsi="Arial" w:cs="Arial"/>
          <w:b/>
          <w:bCs/>
        </w:rPr>
        <w:t>,</w:t>
      </w:r>
      <w:r w:rsidR="001544B6" w:rsidRPr="004F0148">
        <w:rPr>
          <w:rFonts w:ascii="Arial" w:eastAsia="Calibri" w:hAnsi="Arial" w:cs="Arial"/>
          <w:b/>
          <w:bCs/>
        </w:rPr>
        <w:t xml:space="preserve"> za kterých potraviny byly vyrobeny.</w:t>
      </w:r>
      <w:r w:rsidR="00285AEF" w:rsidRPr="004F0148">
        <w:rPr>
          <w:rFonts w:ascii="Arial" w:eastAsia="Calibri" w:hAnsi="Arial" w:cs="Arial"/>
          <w:b/>
          <w:bCs/>
        </w:rPr>
        <w:t xml:space="preserve"> Zákazníci by totiž</w:t>
      </w:r>
      <w:r w:rsidRPr="004F0148">
        <w:rPr>
          <w:rFonts w:ascii="Arial" w:eastAsia="Calibri" w:hAnsi="Arial" w:cs="Arial"/>
          <w:b/>
          <w:bCs/>
        </w:rPr>
        <w:t xml:space="preserve"> jednoznačně</w:t>
      </w:r>
      <w:r w:rsidR="00285AEF" w:rsidRPr="004F0148">
        <w:rPr>
          <w:rFonts w:ascii="Arial" w:eastAsia="Calibri" w:hAnsi="Arial" w:cs="Arial"/>
          <w:b/>
          <w:bCs/>
        </w:rPr>
        <w:t xml:space="preserve"> měli vědět, jaké potraviny</w:t>
      </w:r>
      <w:r w:rsidRPr="004F0148">
        <w:rPr>
          <w:rFonts w:ascii="Arial" w:eastAsia="Calibri" w:hAnsi="Arial" w:cs="Arial"/>
          <w:b/>
          <w:bCs/>
        </w:rPr>
        <w:t xml:space="preserve"> s</w:t>
      </w:r>
      <w:r w:rsidR="00285AEF" w:rsidRPr="004F0148">
        <w:rPr>
          <w:rFonts w:ascii="Arial" w:eastAsia="Calibri" w:hAnsi="Arial" w:cs="Arial"/>
          <w:b/>
          <w:bCs/>
        </w:rPr>
        <w:t xml:space="preserve"> původem mimo EU nakupují.</w:t>
      </w:r>
      <w:r w:rsidR="0049296C">
        <w:rPr>
          <w:rFonts w:ascii="Arial" w:eastAsia="Calibri" w:hAnsi="Arial" w:cs="Arial"/>
        </w:rPr>
        <w:t xml:space="preserve"> </w:t>
      </w:r>
      <w:r w:rsidR="00E519F2">
        <w:rPr>
          <w:rFonts w:ascii="Arial" w:eastAsia="Calibri" w:hAnsi="Arial" w:cs="Arial"/>
        </w:rPr>
        <w:t xml:space="preserve">Na </w:t>
      </w:r>
      <w:proofErr w:type="spellStart"/>
      <w:r w:rsidR="00E519F2">
        <w:rPr>
          <w:rFonts w:ascii="Arial" w:eastAsia="Calibri" w:hAnsi="Arial" w:cs="Arial"/>
        </w:rPr>
        <w:t>neférovost</w:t>
      </w:r>
      <w:proofErr w:type="spellEnd"/>
      <w:r w:rsidR="00E519F2">
        <w:rPr>
          <w:rFonts w:ascii="Arial" w:eastAsia="Calibri" w:hAnsi="Arial" w:cs="Arial"/>
        </w:rPr>
        <w:t xml:space="preserve"> trhu </w:t>
      </w:r>
      <w:r w:rsidR="007F21A2">
        <w:rPr>
          <w:rFonts w:ascii="Arial" w:eastAsia="Calibri" w:hAnsi="Arial" w:cs="Arial"/>
        </w:rPr>
        <w:t xml:space="preserve">ohledně dovozů </w:t>
      </w:r>
      <w:r w:rsidR="00D419B7">
        <w:rPr>
          <w:rFonts w:ascii="Arial" w:eastAsia="Calibri" w:hAnsi="Arial" w:cs="Arial"/>
        </w:rPr>
        <w:t xml:space="preserve">z třetích zemí </w:t>
      </w:r>
      <w:r w:rsidR="00E519F2">
        <w:rPr>
          <w:rFonts w:ascii="Arial" w:eastAsia="Calibri" w:hAnsi="Arial" w:cs="Arial"/>
        </w:rPr>
        <w:t>si</w:t>
      </w:r>
      <w:r>
        <w:rPr>
          <w:rFonts w:ascii="Arial" w:eastAsia="Calibri" w:hAnsi="Arial" w:cs="Arial"/>
        </w:rPr>
        <w:t xml:space="preserve"> obdobně</w:t>
      </w:r>
      <w:r w:rsidR="00E519F2">
        <w:rPr>
          <w:rFonts w:ascii="Arial" w:eastAsia="Calibri" w:hAnsi="Arial" w:cs="Arial"/>
        </w:rPr>
        <w:t xml:space="preserve"> stěžují </w:t>
      </w:r>
      <w:r w:rsidR="007D3108">
        <w:rPr>
          <w:rFonts w:ascii="Arial" w:eastAsia="Calibri" w:hAnsi="Arial" w:cs="Arial"/>
        </w:rPr>
        <w:t xml:space="preserve">i </w:t>
      </w:r>
      <w:r w:rsidR="00E519F2">
        <w:rPr>
          <w:rFonts w:ascii="Arial" w:eastAsia="Calibri" w:hAnsi="Arial" w:cs="Arial"/>
        </w:rPr>
        <w:t>zemědělci</w:t>
      </w:r>
      <w:r w:rsidR="007D3108">
        <w:rPr>
          <w:rFonts w:ascii="Arial" w:eastAsia="Calibri" w:hAnsi="Arial" w:cs="Arial"/>
        </w:rPr>
        <w:t xml:space="preserve"> a</w:t>
      </w:r>
      <w:r w:rsidR="00E519F2">
        <w:rPr>
          <w:rFonts w:ascii="Arial" w:eastAsia="Calibri" w:hAnsi="Arial" w:cs="Arial"/>
        </w:rPr>
        <w:t xml:space="preserve"> potravináři</w:t>
      </w:r>
      <w:r w:rsidR="00BD04FC">
        <w:rPr>
          <w:rFonts w:ascii="Arial" w:eastAsia="Calibri" w:hAnsi="Arial" w:cs="Arial"/>
        </w:rPr>
        <w:t xml:space="preserve"> </w:t>
      </w:r>
      <w:r w:rsidR="00E519F2">
        <w:rPr>
          <w:rFonts w:ascii="Arial" w:eastAsia="Calibri" w:hAnsi="Arial" w:cs="Arial"/>
        </w:rPr>
        <w:t>v</w:t>
      </w:r>
      <w:r w:rsidR="00BD04FC">
        <w:rPr>
          <w:rFonts w:ascii="Arial" w:eastAsia="Calibri" w:hAnsi="Arial" w:cs="Arial"/>
        </w:rPr>
        <w:t xml:space="preserve"> dalších evropských zemích. </w:t>
      </w:r>
    </w:p>
    <w:p w:rsidR="002212CA" w:rsidRDefault="00A35F09" w:rsidP="009E0C1E">
      <w:pPr>
        <w:spacing w:after="24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/>
      </w:r>
      <w:r w:rsidR="002A6106">
        <w:rPr>
          <w:rFonts w:ascii="Arial" w:hAnsi="Arial" w:cs="Arial"/>
        </w:rPr>
        <w:br/>
      </w:r>
    </w:p>
    <w:p w:rsidR="009E0C1E" w:rsidRPr="002F155E" w:rsidRDefault="009E0C1E" w:rsidP="009E0C1E">
      <w:pPr>
        <w:spacing w:after="240"/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t xml:space="preserve">Kontakt pro média: </w:t>
      </w:r>
    </w:p>
    <w:p w:rsidR="009E0C1E" w:rsidRPr="007E11D6" w:rsidRDefault="009E0C1E" w:rsidP="009E0C1E">
      <w:pPr>
        <w:spacing w:after="0"/>
        <w:jc w:val="both"/>
        <w:rPr>
          <w:rFonts w:ascii="Arial" w:hAnsi="Arial" w:cs="Arial"/>
          <w:b/>
          <w:bCs/>
        </w:rPr>
      </w:pPr>
      <w:r w:rsidRPr="007E11D6">
        <w:rPr>
          <w:rFonts w:ascii="Arial" w:hAnsi="Arial" w:cs="Arial"/>
          <w:b/>
          <w:bCs/>
        </w:rPr>
        <w:t>Marek Zemánek</w:t>
      </w:r>
    </w:p>
    <w:p w:rsidR="009E0C1E" w:rsidRDefault="009E0C1E" w:rsidP="009E0C1E">
      <w:pPr>
        <w:spacing w:after="0"/>
        <w:jc w:val="both"/>
        <w:rPr>
          <w:rFonts w:ascii="Arial" w:hAnsi="Arial" w:cs="Arial"/>
        </w:rPr>
      </w:pPr>
      <w:r w:rsidRPr="007E11D6">
        <w:rPr>
          <w:rFonts w:ascii="Arial" w:hAnsi="Arial" w:cs="Arial"/>
        </w:rPr>
        <w:t>Tiskový mluvčí a vedoucí tiskového oddělení</w:t>
      </w:r>
    </w:p>
    <w:p w:rsidR="009E0C1E" w:rsidRDefault="009E0C1E" w:rsidP="009E0C1E">
      <w:pPr>
        <w:spacing w:after="0"/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t>Potravinářská komora ČR</w:t>
      </w:r>
    </w:p>
    <w:p w:rsidR="009E0C1E" w:rsidRPr="002F155E" w:rsidRDefault="00B5698C" w:rsidP="009E0C1E">
      <w:pPr>
        <w:spacing w:after="240"/>
        <w:jc w:val="both"/>
        <w:rPr>
          <w:rFonts w:ascii="Arial" w:hAnsi="Arial" w:cs="Arial"/>
          <w:color w:val="424248"/>
        </w:rPr>
      </w:pPr>
      <w:hyperlink r:id="rId10" w:history="1">
        <w:r w:rsidR="009E0C1E" w:rsidRPr="002F155E">
          <w:rPr>
            <w:rStyle w:val="Hypertextovodkaz"/>
            <w:rFonts w:ascii="Arial" w:hAnsi="Arial" w:cs="Arial"/>
          </w:rPr>
          <w:t>zemanek@foodnet.cz</w:t>
        </w:r>
      </w:hyperlink>
      <w:r w:rsidR="009E0C1E" w:rsidRPr="002F155E">
        <w:rPr>
          <w:rFonts w:ascii="Arial" w:hAnsi="Arial" w:cs="Arial"/>
          <w:color w:val="424248"/>
        </w:rPr>
        <w:t xml:space="preserve">, </w:t>
      </w:r>
      <w:r w:rsidR="009E0C1E" w:rsidRPr="002F155E">
        <w:rPr>
          <w:rFonts w:ascii="Arial" w:hAnsi="Arial" w:cs="Arial"/>
        </w:rPr>
        <w:t>602 322 653</w:t>
      </w:r>
    </w:p>
    <w:p w:rsidR="009E0C1E" w:rsidRDefault="009E0C1E" w:rsidP="009E0C1E">
      <w:pPr>
        <w:jc w:val="both"/>
        <w:rPr>
          <w:rFonts w:ascii="Arial" w:hAnsi="Arial" w:cs="Arial"/>
        </w:rPr>
      </w:pPr>
      <w:r w:rsidRPr="002F155E">
        <w:rPr>
          <w:rFonts w:ascii="Arial" w:hAnsi="Arial" w:cs="Arial"/>
        </w:rPr>
        <w:t>Potravinářská komora České republiky (PK ČR) byla založena v roce 1995 jako federace výrobců potravin, nápojů a zpracovatelů zemědělské produkce. PK ČR plní funkci zájmového neziskového sdružení pro všechny potravinářské obory a obory zpracování zemědělských produktů.</w:t>
      </w:r>
    </w:p>
    <w:sectPr w:rsidR="009E0C1E" w:rsidSect="002307F6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C0" w:rsidRDefault="005009C0" w:rsidP="002307F6">
      <w:pPr>
        <w:spacing w:after="0" w:line="240" w:lineRule="auto"/>
      </w:pPr>
      <w:r>
        <w:separator/>
      </w:r>
    </w:p>
  </w:endnote>
  <w:endnote w:type="continuationSeparator" w:id="0">
    <w:p w:rsidR="005009C0" w:rsidRDefault="005009C0" w:rsidP="002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F6" w:rsidRPr="007F4704" w:rsidRDefault="002307F6" w:rsidP="002307F6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Potravinářská komora ČR</w:t>
    </w:r>
    <w:r w:rsidRPr="007F4704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Tiskové oddělení</w:t>
    </w:r>
  </w:p>
  <w:p w:rsidR="002307F6" w:rsidRPr="007F4704" w:rsidRDefault="002307F6" w:rsidP="002307F6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Počernická 96/272, 108 03 Praha 10 - Malešice</w:t>
    </w:r>
  </w:p>
  <w:p w:rsidR="002307F6" w:rsidRDefault="00B5698C" w:rsidP="002307F6">
    <w:pPr>
      <w:ind w:right="-2"/>
      <w:jc w:val="both"/>
    </w:pPr>
    <w:hyperlink r:id="rId1" w:history="1">
      <w:r w:rsidR="002307F6" w:rsidRPr="009F4C93">
        <w:rPr>
          <w:rStyle w:val="Hypertextovodkaz"/>
          <w:rFonts w:ascii="Arial" w:hAnsi="Arial" w:cs="Arial"/>
          <w:sz w:val="16"/>
          <w:szCs w:val="16"/>
        </w:rPr>
        <w:t>www.foodnet.cz</w:t>
      </w:r>
    </w:hyperlink>
    <w:r w:rsidR="002307F6">
      <w:rPr>
        <w:rFonts w:ascii="Arial" w:hAnsi="Arial" w:cs="Arial"/>
        <w:color w:val="333399"/>
        <w:sz w:val="16"/>
        <w:szCs w:val="16"/>
      </w:rPr>
      <w:t xml:space="preserve">; </w:t>
    </w:r>
    <w:hyperlink r:id="rId2" w:history="1">
      <w:r w:rsidR="002307F6" w:rsidRPr="003A3176">
        <w:rPr>
          <w:rStyle w:val="Hypertextovodkaz"/>
          <w:rFonts w:ascii="Arial" w:hAnsi="Arial" w:cs="Arial"/>
          <w:sz w:val="16"/>
          <w:szCs w:val="16"/>
        </w:rPr>
        <w:t>www.ceskapotravina.net</w:t>
      </w:r>
    </w:hyperlink>
    <w:r w:rsidR="002307F6">
      <w:rPr>
        <w:rFonts w:ascii="Arial" w:hAnsi="Arial" w:cs="Arial"/>
        <w:color w:val="333399"/>
        <w:sz w:val="16"/>
        <w:szCs w:val="16"/>
      </w:rPr>
      <w:t xml:space="preserve">; </w:t>
    </w:r>
    <w:hyperlink r:id="rId3" w:history="1">
      <w:r w:rsidR="002307F6" w:rsidRPr="003A3176">
        <w:rPr>
          <w:rStyle w:val="Hypertextovodkaz"/>
          <w:rFonts w:ascii="Arial" w:hAnsi="Arial" w:cs="Arial"/>
          <w:sz w:val="16"/>
          <w:szCs w:val="16"/>
        </w:rPr>
        <w:t>www.vyrobci.foodnet.cz</w:t>
      </w:r>
    </w:hyperlink>
    <w:r w:rsidR="002307F6">
      <w:rPr>
        <w:rFonts w:ascii="Arial" w:hAnsi="Arial" w:cs="Arial"/>
        <w:color w:val="333399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C0" w:rsidRDefault="005009C0" w:rsidP="002307F6">
      <w:pPr>
        <w:spacing w:after="0" w:line="240" w:lineRule="auto"/>
      </w:pPr>
      <w:r>
        <w:separator/>
      </w:r>
    </w:p>
  </w:footnote>
  <w:footnote w:type="continuationSeparator" w:id="0">
    <w:p w:rsidR="005009C0" w:rsidRDefault="005009C0" w:rsidP="002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1C"/>
    <w:rsid w:val="000034B9"/>
    <w:rsid w:val="000125EB"/>
    <w:rsid w:val="00016D0B"/>
    <w:rsid w:val="00031B6A"/>
    <w:rsid w:val="0003588A"/>
    <w:rsid w:val="00042437"/>
    <w:rsid w:val="00054288"/>
    <w:rsid w:val="00074F83"/>
    <w:rsid w:val="00075516"/>
    <w:rsid w:val="000E0876"/>
    <w:rsid w:val="000E7D8C"/>
    <w:rsid w:val="000F6B5C"/>
    <w:rsid w:val="00112934"/>
    <w:rsid w:val="001544B6"/>
    <w:rsid w:val="0015603A"/>
    <w:rsid w:val="001631AA"/>
    <w:rsid w:val="0017679B"/>
    <w:rsid w:val="00197F30"/>
    <w:rsid w:val="001C4AD4"/>
    <w:rsid w:val="001E1C60"/>
    <w:rsid w:val="001E5E95"/>
    <w:rsid w:val="001F5DA6"/>
    <w:rsid w:val="001F6405"/>
    <w:rsid w:val="002212CA"/>
    <w:rsid w:val="0022367A"/>
    <w:rsid w:val="002262F1"/>
    <w:rsid w:val="002302ED"/>
    <w:rsid w:val="002307F6"/>
    <w:rsid w:val="00236407"/>
    <w:rsid w:val="002648ED"/>
    <w:rsid w:val="0027251C"/>
    <w:rsid w:val="00272D10"/>
    <w:rsid w:val="00285AEF"/>
    <w:rsid w:val="002A3BE5"/>
    <w:rsid w:val="002A541A"/>
    <w:rsid w:val="002A6106"/>
    <w:rsid w:val="002F3858"/>
    <w:rsid w:val="002F5770"/>
    <w:rsid w:val="002F6EED"/>
    <w:rsid w:val="00324C72"/>
    <w:rsid w:val="003269F8"/>
    <w:rsid w:val="00336B55"/>
    <w:rsid w:val="003B03AB"/>
    <w:rsid w:val="003B3A95"/>
    <w:rsid w:val="003E295E"/>
    <w:rsid w:val="003F0450"/>
    <w:rsid w:val="003F67B2"/>
    <w:rsid w:val="00431895"/>
    <w:rsid w:val="00435B67"/>
    <w:rsid w:val="004405A4"/>
    <w:rsid w:val="00486336"/>
    <w:rsid w:val="0049296C"/>
    <w:rsid w:val="004F0148"/>
    <w:rsid w:val="004F5BE2"/>
    <w:rsid w:val="005009C0"/>
    <w:rsid w:val="00551093"/>
    <w:rsid w:val="00597E41"/>
    <w:rsid w:val="005B1A27"/>
    <w:rsid w:val="005B63DD"/>
    <w:rsid w:val="005C793D"/>
    <w:rsid w:val="005E5278"/>
    <w:rsid w:val="005F4FB1"/>
    <w:rsid w:val="00647A4C"/>
    <w:rsid w:val="00651BC1"/>
    <w:rsid w:val="00654760"/>
    <w:rsid w:val="00691EF0"/>
    <w:rsid w:val="006B2559"/>
    <w:rsid w:val="006B7210"/>
    <w:rsid w:val="006D0B20"/>
    <w:rsid w:val="006F0C2D"/>
    <w:rsid w:val="006F0D23"/>
    <w:rsid w:val="006F6683"/>
    <w:rsid w:val="00752BFF"/>
    <w:rsid w:val="007578A5"/>
    <w:rsid w:val="007778D4"/>
    <w:rsid w:val="007865EF"/>
    <w:rsid w:val="007A5BC9"/>
    <w:rsid w:val="007C2721"/>
    <w:rsid w:val="007D3108"/>
    <w:rsid w:val="007F21A2"/>
    <w:rsid w:val="00802CD5"/>
    <w:rsid w:val="00803E01"/>
    <w:rsid w:val="008361D1"/>
    <w:rsid w:val="00844089"/>
    <w:rsid w:val="00855F1C"/>
    <w:rsid w:val="0086103C"/>
    <w:rsid w:val="00872E5F"/>
    <w:rsid w:val="008D1F8B"/>
    <w:rsid w:val="008D34D5"/>
    <w:rsid w:val="008D6F9C"/>
    <w:rsid w:val="00917E52"/>
    <w:rsid w:val="00920614"/>
    <w:rsid w:val="00923C66"/>
    <w:rsid w:val="0092409A"/>
    <w:rsid w:val="00940221"/>
    <w:rsid w:val="009527E5"/>
    <w:rsid w:val="009668EA"/>
    <w:rsid w:val="00966FA8"/>
    <w:rsid w:val="00982D5E"/>
    <w:rsid w:val="00993BC7"/>
    <w:rsid w:val="009B30B1"/>
    <w:rsid w:val="009C6BB2"/>
    <w:rsid w:val="009D077F"/>
    <w:rsid w:val="009E0C1E"/>
    <w:rsid w:val="00A24D3A"/>
    <w:rsid w:val="00A35F09"/>
    <w:rsid w:val="00A77A1C"/>
    <w:rsid w:val="00AC698E"/>
    <w:rsid w:val="00AE2784"/>
    <w:rsid w:val="00B04AA2"/>
    <w:rsid w:val="00B07C84"/>
    <w:rsid w:val="00B5698C"/>
    <w:rsid w:val="00B63555"/>
    <w:rsid w:val="00B902AB"/>
    <w:rsid w:val="00B9645C"/>
    <w:rsid w:val="00BB02B1"/>
    <w:rsid w:val="00BD04FC"/>
    <w:rsid w:val="00BD2D5E"/>
    <w:rsid w:val="00BD7E27"/>
    <w:rsid w:val="00C02AAD"/>
    <w:rsid w:val="00C065C9"/>
    <w:rsid w:val="00C4733D"/>
    <w:rsid w:val="00C61FF8"/>
    <w:rsid w:val="00C64534"/>
    <w:rsid w:val="00C81635"/>
    <w:rsid w:val="00CA6ADD"/>
    <w:rsid w:val="00CF0C9A"/>
    <w:rsid w:val="00D419B7"/>
    <w:rsid w:val="00D51F17"/>
    <w:rsid w:val="00D53DD0"/>
    <w:rsid w:val="00D768F4"/>
    <w:rsid w:val="00D956C1"/>
    <w:rsid w:val="00DA63C5"/>
    <w:rsid w:val="00DB4D38"/>
    <w:rsid w:val="00DC7622"/>
    <w:rsid w:val="00DD09C8"/>
    <w:rsid w:val="00DE21DB"/>
    <w:rsid w:val="00DE3813"/>
    <w:rsid w:val="00DE4BA5"/>
    <w:rsid w:val="00DE64E0"/>
    <w:rsid w:val="00E4513B"/>
    <w:rsid w:val="00E519F2"/>
    <w:rsid w:val="00EB1964"/>
    <w:rsid w:val="00ED7695"/>
    <w:rsid w:val="00EE3DC6"/>
    <w:rsid w:val="00EE5983"/>
    <w:rsid w:val="00F56922"/>
    <w:rsid w:val="00F622AC"/>
    <w:rsid w:val="00F96F10"/>
    <w:rsid w:val="00FC01F8"/>
    <w:rsid w:val="00FC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98C"/>
  </w:style>
  <w:style w:type="paragraph" w:styleId="Nadpis1">
    <w:name w:val="heading 1"/>
    <w:basedOn w:val="Normln"/>
    <w:next w:val="Normln"/>
    <w:link w:val="Nadpis1Char"/>
    <w:uiPriority w:val="9"/>
    <w:qFormat/>
    <w:rsid w:val="00855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F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F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F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5F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5F1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F1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5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5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5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5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5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55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55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85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855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5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5F1C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55F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55F1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5F1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rsid w:val="002A610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7F6"/>
  </w:style>
  <w:style w:type="paragraph" w:styleId="Zpat">
    <w:name w:val="footer"/>
    <w:basedOn w:val="Normln"/>
    <w:link w:val="ZpatChar"/>
    <w:unhideWhenUsed/>
    <w:rsid w:val="002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07F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3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zemanek@foodnet.cz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robci.foodnet.cz" TargetMode="External"/><Relationship Id="rId2" Type="http://schemas.openxmlformats.org/officeDocument/2006/relationships/hyperlink" Target="http://www.ceskapotravina.net" TargetMode="External"/><Relationship Id="rId1" Type="http://schemas.openxmlformats.org/officeDocument/2006/relationships/hyperlink" Target="http://www.foodnet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A5-463E-BAF2-0EEA3C16610E}"/>
              </c:ext>
            </c:extLst>
          </c:dPt>
          <c:dPt>
            <c:idx val="1"/>
            <c:spPr>
              <a:solidFill>
                <a:srgbClr val="DA8C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A5-463E-BAF2-0EEA3C16610E}"/>
              </c:ext>
            </c:extLst>
          </c:dPt>
          <c:dPt>
            <c:idx val="2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A5-463E-BAF2-0EEA3C16610E}"/>
              </c:ext>
            </c:extLst>
          </c:dPt>
          <c:dPt>
            <c:idx val="3"/>
            <c:spPr>
              <a:solidFill>
                <a:srgbClr val="B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A5-463E-BAF2-0EEA3C16610E}"/>
              </c:ext>
            </c:extLst>
          </c:dPt>
          <c:dLbls>
            <c:dLbl>
              <c:idx val="0"/>
              <c:layout>
                <c:manualLayout>
                  <c:x val="-0.14736639690871975"/>
                  <c:y val="0.193493000874890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r>
                      <a:rPr lang="en-US" sz="1000" b="0"/>
                      <a:t>2020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fld id="{C7745B71-8B1A-4FFC-870D-D0FBC0262FF2}" type="VALUE">
                      <a:rPr lang="en-US"/>
                      <a:pPr>
                        <a:defRPr sz="1200" b="1" i="0" u="none" strike="noStrike" kern="1200" baseline="0">
                          <a:solidFill>
                            <a:schemeClr val="bg1"/>
                          </a:solidFill>
                          <a:latin typeface="Arial    "/>
                          <a:ea typeface="+mn-ea"/>
                          <a:cs typeface="+mn-cs"/>
                        </a:defRPr>
                      </a:pPr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4435185185185184"/>
                      <c:h val="0.165893013373328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9A5-463E-BAF2-0EEA3C16610E}"/>
                </c:ext>
              </c:extLst>
            </c:dLbl>
            <c:dLbl>
              <c:idx val="1"/>
              <c:layout>
                <c:manualLayout>
                  <c:x val="-0.15711358996792088"/>
                  <c:y val="-0.127782308461442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r>
                      <a:rPr lang="en-US" sz="1000" b="0"/>
                      <a:t>2021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fld id="{E2303CDA-23C8-438A-BA4D-634CC3818366}" type="VALUE">
                      <a:rPr lang="en-US"/>
                      <a:pPr>
                        <a:defRPr sz="1200" b="1" i="0" u="none" strike="noStrike" kern="1200" baseline="0">
                          <a:solidFill>
                            <a:schemeClr val="bg1"/>
                          </a:solidFill>
                          <a:latin typeface="Arial    "/>
                          <a:ea typeface="+mn-ea"/>
                          <a:cs typeface="+mn-cs"/>
                        </a:defRPr>
                      </a:pPr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583333333333332"/>
                      <c:h val="0.150019997500312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9A5-463E-BAF2-0EEA3C16610E}"/>
                </c:ext>
              </c:extLst>
            </c:dLbl>
            <c:dLbl>
              <c:idx val="2"/>
              <c:layout>
                <c:manualLayout>
                  <c:x val="0.1197287839020123"/>
                  <c:y val="-0.2128693288338959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endParaRPr lang="en-US"/>
                  </a:p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r>
                      <a:rPr lang="en-US" sz="1000" b="0"/>
                      <a:t>2022</a:t>
                    </a:r>
                    <a:r>
                      <a:rPr lang="en-US"/>
                      <a:t/>
                    </a:r>
                    <a:br>
                      <a:rPr lang="en-US"/>
                    </a:br>
                    <a:fld id="{DAE776F8-25B6-4D69-B60D-026F5D5B4AFA}" type="VALUE">
                      <a:rPr lang="en-US"/>
                      <a:pPr>
                        <a:defRPr sz="1200" b="1" i="0" u="none" strike="noStrike" kern="1200" baseline="0">
                          <a:solidFill>
                            <a:schemeClr val="bg1"/>
                          </a:solidFill>
                          <a:latin typeface="Arial    "/>
                          <a:ea typeface="+mn-ea"/>
                          <a:cs typeface="+mn-cs"/>
                        </a:defRPr>
                      </a:pPr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439814814814815"/>
                      <c:h val="0.2000596800399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9A5-463E-BAF2-0EEA3C16610E}"/>
                </c:ext>
              </c:extLst>
            </c:dLbl>
            <c:dLbl>
              <c:idx val="3"/>
              <c:layout>
                <c:manualLayout>
                  <c:x val="0.17129629629629636"/>
                  <c:y val="0.1541213598300213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r>
                      <a:rPr lang="en-US"/>
                      <a:t/>
                    </a:r>
                    <a:br>
                      <a:rPr lang="en-US"/>
                    </a:br>
                    <a:r>
                      <a:rPr lang="en-US" sz="1000" b="0"/>
                      <a:t>2023</a:t>
                    </a:r>
                  </a:p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Arial    "/>
                        <a:ea typeface="+mn-ea"/>
                        <a:cs typeface="+mn-cs"/>
                      </a:defRPr>
                    </a:pPr>
                    <a:fld id="{CEB11F05-7EC4-4265-8294-4E17B68201D7}" type="VALUE">
                      <a:rPr lang="en-US"/>
                      <a:pPr>
                        <a:defRPr sz="1200" b="1" i="0" u="none" strike="noStrike" kern="1200" baseline="0">
                          <a:solidFill>
                            <a:schemeClr val="bg1"/>
                          </a:solidFill>
                          <a:latin typeface="Arial    "/>
                          <a:ea typeface="+mn-ea"/>
                          <a:cs typeface="+mn-cs"/>
                        </a:defRPr>
                      </a:pPr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5509259259259259"/>
                      <c:h val="0.217261904761904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9A5-463E-BAF2-0EEA3C166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Arial    "/>
                    <a:ea typeface="+mn-ea"/>
                    <a:cs typeface="+mn-cs"/>
                  </a:defRPr>
                </a:pPr>
                <a:endParaRPr lang="cs-CZ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31.3</c:v>
                </c:pt>
                <c:pt idx="1">
                  <c:v>26.8</c:v>
                </c:pt>
                <c:pt idx="2">
                  <c:v>39.200000000000003</c:v>
                </c:pt>
                <c:pt idx="3">
                  <c:v>40.9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9A5-463E-BAF2-0EEA3C16610E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 w="127000">
              <a:solidFill>
                <a:srgbClr val="D6701C"/>
              </a:solidFill>
              <a:miter lim="800000"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08000" tIns="19050" rIns="720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Arial    "/>
                    <a:ea typeface="+mn-ea"/>
                    <a:cs typeface="+mn-cs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List1!$A$2:$A$9</c:f>
              <c:numCache>
                <c:formatCode>General</c:formatCod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numCache>
            </c:numRef>
          </c:cat>
          <c:val>
            <c:numRef>
              <c:f>List1!$B$2:$B$9</c:f>
              <c:numCache>
                <c:formatCode>#,##0</c:formatCode>
                <c:ptCount val="8"/>
                <c:pt idx="0">
                  <c:v>7560</c:v>
                </c:pt>
                <c:pt idx="1">
                  <c:v>6762</c:v>
                </c:pt>
                <c:pt idx="2">
                  <c:v>5100</c:v>
                </c:pt>
                <c:pt idx="3">
                  <c:v>3407</c:v>
                </c:pt>
                <c:pt idx="4">
                  <c:v>2986</c:v>
                </c:pt>
                <c:pt idx="5">
                  <c:v>4456</c:v>
                </c:pt>
                <c:pt idx="6">
                  <c:v>2204</c:v>
                </c:pt>
                <c:pt idx="7">
                  <c:v>1708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E-4E55-99DF-0D0FF20575E0}"/>
            </c:ext>
          </c:extLst>
        </c:ser>
        <c:gapWidth val="182"/>
        <c:axId val="117834880"/>
        <c:axId val="117836416"/>
      </c:barChart>
      <c:catAx>
        <c:axId val="117834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    "/>
                <a:ea typeface="+mn-ea"/>
                <a:cs typeface="+mn-cs"/>
              </a:defRPr>
            </a:pPr>
            <a:endParaRPr lang="cs-CZ"/>
          </a:p>
        </c:txPr>
        <c:crossAx val="117836416"/>
        <c:crosses val="autoZero"/>
        <c:auto val="1"/>
        <c:lblAlgn val="ctr"/>
        <c:lblOffset val="100"/>
      </c:catAx>
      <c:valAx>
        <c:axId val="117836416"/>
        <c:scaling>
          <c:orientation val="minMax"/>
        </c:scaling>
        <c:axPos val="b"/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    "/>
                <a:ea typeface="+mn-ea"/>
                <a:cs typeface="+mn-cs"/>
              </a:defRPr>
            </a:pPr>
            <a:endParaRPr lang="cs-CZ"/>
          </a:p>
        </c:txPr>
        <c:crossAx val="11783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Zemánek</dc:creator>
  <cp:lastModifiedBy>Franta</cp:lastModifiedBy>
  <cp:revision>2</cp:revision>
  <dcterms:created xsi:type="dcterms:W3CDTF">2025-02-18T17:55:00Z</dcterms:created>
  <dcterms:modified xsi:type="dcterms:W3CDTF">2025-02-18T17:55:00Z</dcterms:modified>
</cp:coreProperties>
</file>